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A6E8D" w14:textId="3158DFEA" w:rsidR="00514ED1" w:rsidRPr="00B3762A" w:rsidRDefault="000B04CB" w:rsidP="000B04CB">
      <w:pPr>
        <w:jc w:val="center"/>
        <w:rPr>
          <w:b/>
        </w:rPr>
      </w:pPr>
      <w:r w:rsidRPr="00B3762A">
        <w:rPr>
          <w:b/>
        </w:rPr>
        <w:t>Spread and Adoption Programme - General Practice Assistants</w:t>
      </w:r>
    </w:p>
    <w:p w14:paraId="3992F2B8" w14:textId="1BFFA59D" w:rsidR="000B04CB" w:rsidRPr="00B3762A" w:rsidRDefault="000B04CB" w:rsidP="000B04CB">
      <w:pPr>
        <w:jc w:val="center"/>
        <w:rPr>
          <w:b/>
        </w:rPr>
      </w:pPr>
      <w:r w:rsidRPr="00B3762A">
        <w:rPr>
          <w:b/>
        </w:rPr>
        <w:t>Update May 2019</w:t>
      </w:r>
    </w:p>
    <w:p w14:paraId="39813A6C" w14:textId="35228441" w:rsidR="000B04CB" w:rsidRPr="00B3762A" w:rsidRDefault="002E2412" w:rsidP="000B04CB">
      <w:pPr>
        <w:rPr>
          <w:b/>
        </w:rPr>
      </w:pPr>
      <w:r w:rsidRPr="00B3762A">
        <w:rPr>
          <w:b/>
        </w:rPr>
        <w:t>Background</w:t>
      </w:r>
    </w:p>
    <w:p w14:paraId="60108955" w14:textId="28478BCF" w:rsidR="0011452C" w:rsidRPr="00B3762A" w:rsidRDefault="0011452C" w:rsidP="000B04CB">
      <w:pPr>
        <w:rPr>
          <w:rFonts w:cs="Arial"/>
          <w:lang w:val="en"/>
        </w:rPr>
      </w:pPr>
      <w:r w:rsidRPr="00B3762A">
        <w:t xml:space="preserve">The </w:t>
      </w:r>
      <w:r w:rsidR="00DE42F0" w:rsidRPr="00B3762A">
        <w:t xml:space="preserve">role of General Practice Assistant </w:t>
      </w:r>
      <w:r w:rsidRPr="00B3762A">
        <w:t xml:space="preserve">(sometimes known as Medical Assistants) was initially developed in the United States, </w:t>
      </w:r>
      <w:r w:rsidRPr="00B3762A">
        <w:rPr>
          <w:rFonts w:cstheme="minorHAnsi"/>
          <w:lang w:val="en"/>
        </w:rPr>
        <w:t xml:space="preserve">to safely deliver a combination of routine administrative tasks and some basic clinical duties in the general practice setting.  The focus being on supporting General Practitioners in their day-to-day management of patients, specifically aimed at reducing the administrative burden and </w:t>
      </w:r>
      <w:r w:rsidRPr="00B3762A">
        <w:t>making best use of consultation time.</w:t>
      </w:r>
    </w:p>
    <w:p w14:paraId="13179D7A" w14:textId="1C2C09B6" w:rsidR="0011452C" w:rsidRPr="00B3762A" w:rsidRDefault="0011452C" w:rsidP="000B04CB">
      <w:r w:rsidRPr="00B3762A">
        <w:rPr>
          <w:rFonts w:cs="Arial"/>
          <w:lang w:val="en"/>
        </w:rPr>
        <w:t xml:space="preserve">In line with </w:t>
      </w:r>
      <w:r w:rsidRPr="00B3762A">
        <w:rPr>
          <w:rFonts w:cs="Arial"/>
        </w:rPr>
        <w:t>The General Practice Forward View (2016), HEE established a national working group to test how General Practice Assistant</w:t>
      </w:r>
      <w:r w:rsidR="00DE42F0" w:rsidRPr="00B3762A">
        <w:rPr>
          <w:rFonts w:cs="Arial"/>
        </w:rPr>
        <w:t>s</w:t>
      </w:r>
      <w:r w:rsidRPr="00B3762A">
        <w:rPr>
          <w:rFonts w:cs="Arial"/>
        </w:rPr>
        <w:t xml:space="preserve"> (GPA</w:t>
      </w:r>
      <w:r w:rsidR="00DE42F0" w:rsidRPr="00B3762A">
        <w:rPr>
          <w:rFonts w:cs="Arial"/>
        </w:rPr>
        <w:t>s</w:t>
      </w:r>
      <w:r w:rsidRPr="00B3762A">
        <w:rPr>
          <w:rFonts w:cs="Arial"/>
        </w:rPr>
        <w:t>) might support general practice, including ‘proof of concept’ sites in the North West and London</w:t>
      </w:r>
      <w:r w:rsidR="00714FBA">
        <w:rPr>
          <w:rFonts w:cs="Arial"/>
        </w:rPr>
        <w:t>/South East</w:t>
      </w:r>
      <w:r w:rsidRPr="00B3762A">
        <w:rPr>
          <w:rFonts w:cs="Arial"/>
        </w:rPr>
        <w:t>.</w:t>
      </w:r>
      <w:r w:rsidR="00714FBA">
        <w:rPr>
          <w:rFonts w:cs="Arial"/>
        </w:rPr>
        <w:t xml:space="preserve">  Each site has taken a different approach to introducing GPAs based on local need, with both clinical and non-clinical versions of the role being developed.  </w:t>
      </w:r>
      <w:r w:rsidR="009F217F">
        <w:rPr>
          <w:rFonts w:cs="Arial"/>
        </w:rPr>
        <w:t xml:space="preserve"> </w:t>
      </w:r>
      <w:r w:rsidRPr="00B3762A">
        <w:rPr>
          <w:rFonts w:cs="Arial"/>
        </w:rPr>
        <w:t xml:space="preserve">  </w:t>
      </w:r>
    </w:p>
    <w:p w14:paraId="279C9BF0" w14:textId="77777777" w:rsidR="00DE42F0" w:rsidRPr="00B3762A" w:rsidRDefault="00DE42F0" w:rsidP="00DE42F0">
      <w:pPr>
        <w:rPr>
          <w:rFonts w:cstheme="minorHAnsi"/>
        </w:rPr>
      </w:pPr>
      <w:r w:rsidRPr="00B3762A">
        <w:rPr>
          <w:rFonts w:cstheme="minorHAnsi"/>
        </w:rPr>
        <w:t xml:space="preserve">There is early evidence to suggest that GPAs have the potential to:  </w:t>
      </w:r>
    </w:p>
    <w:p w14:paraId="3E170CEC" w14:textId="77777777" w:rsidR="00DE42F0" w:rsidRPr="00B3762A" w:rsidRDefault="00DE42F0" w:rsidP="00DE42F0">
      <w:pPr>
        <w:pStyle w:val="ListParagraph"/>
        <w:numPr>
          <w:ilvl w:val="0"/>
          <w:numId w:val="1"/>
        </w:numPr>
        <w:rPr>
          <w:rFonts w:cs="Arial"/>
          <w:lang w:val="en"/>
        </w:rPr>
      </w:pPr>
      <w:r w:rsidRPr="00B3762A">
        <w:rPr>
          <w:rFonts w:cs="Arial"/>
          <w:lang w:val="en"/>
        </w:rPr>
        <w:t>‘improve patient access and release highly qualified staff to concentrate on treating and managing patients with more complex conditions’ (HEE GPA Working Group report 2017)</w:t>
      </w:r>
    </w:p>
    <w:p w14:paraId="15577F32" w14:textId="77777777" w:rsidR="00DE42F0" w:rsidRPr="00B3762A" w:rsidRDefault="00DE42F0" w:rsidP="00DE42F0">
      <w:pPr>
        <w:pStyle w:val="ListParagraph"/>
        <w:numPr>
          <w:ilvl w:val="0"/>
          <w:numId w:val="1"/>
        </w:numPr>
        <w:rPr>
          <w:rFonts w:cstheme="minorHAnsi"/>
        </w:rPr>
      </w:pPr>
      <w:r w:rsidRPr="00B3762A">
        <w:rPr>
          <w:rFonts w:cstheme="minorHAnsi"/>
        </w:rPr>
        <w:t>‘improve patient flow within surgery hours, increasing the time efficiency of appointments, and reduction of waiting times; supporting patient experience by ‘translating’ or reiterating information from the GP’ (University of Cumbria 2017)</w:t>
      </w:r>
    </w:p>
    <w:p w14:paraId="58B76340" w14:textId="77777777" w:rsidR="00DE42F0" w:rsidRPr="00B3762A" w:rsidRDefault="00DE42F0" w:rsidP="00DE42F0">
      <w:pPr>
        <w:pStyle w:val="ListParagraph"/>
        <w:numPr>
          <w:ilvl w:val="0"/>
          <w:numId w:val="1"/>
        </w:numPr>
        <w:rPr>
          <w:rFonts w:cstheme="minorHAnsi"/>
        </w:rPr>
      </w:pPr>
      <w:r w:rsidRPr="00B3762A">
        <w:rPr>
          <w:rFonts w:cstheme="minorHAnsi"/>
        </w:rPr>
        <w:t xml:space="preserve">have a positive impact on GP retention and job satisfaction (HEE video case study: Medical Assistants in Primary Care, 2017).  </w:t>
      </w:r>
    </w:p>
    <w:p w14:paraId="6475619C" w14:textId="0AAA9AC7" w:rsidR="00DE42F0" w:rsidRPr="00B3762A" w:rsidRDefault="002B3D6E" w:rsidP="000B04CB">
      <w:pPr>
        <w:rPr>
          <w:b/>
        </w:rPr>
      </w:pPr>
      <w:r>
        <w:rPr>
          <w:b/>
        </w:rPr>
        <w:t xml:space="preserve">The </w:t>
      </w:r>
      <w:r w:rsidR="002E2412" w:rsidRPr="00B3762A">
        <w:rPr>
          <w:b/>
        </w:rPr>
        <w:t>GPA spread and adoption programme</w:t>
      </w:r>
    </w:p>
    <w:p w14:paraId="0CDBD413" w14:textId="61D8BCF1" w:rsidR="00A16525" w:rsidRDefault="0029753D" w:rsidP="000B04CB">
      <w:r>
        <w:t>G</w:t>
      </w:r>
      <w:r w:rsidR="008030EA" w:rsidRPr="00B3762A">
        <w:t>rowing demand for workforce solutions in primary care</w:t>
      </w:r>
      <w:r w:rsidR="006D1D94" w:rsidRPr="00B3762A">
        <w:t xml:space="preserve"> and </w:t>
      </w:r>
      <w:r w:rsidR="008030EA" w:rsidRPr="00B3762A">
        <w:t xml:space="preserve">the </w:t>
      </w:r>
      <w:r w:rsidR="006D1D94" w:rsidRPr="00B3762A">
        <w:t xml:space="preserve">evolution </w:t>
      </w:r>
      <w:r w:rsidR="008030EA" w:rsidRPr="00B3762A">
        <w:t>of Primary Care Training Hubs presented an opportunity to replicate the GPA role at scale nationally.</w:t>
      </w:r>
    </w:p>
    <w:p w14:paraId="4A12A8BB" w14:textId="4D824E95" w:rsidR="008030EA" w:rsidRDefault="00A16525" w:rsidP="000B04CB">
      <w:r>
        <w:t xml:space="preserve">The ‘5 Step Approach’ to spread and adoption, supported by HEE’s Transformation Collaborative, was used </w:t>
      </w:r>
      <w:r w:rsidR="00257820">
        <w:t>to design a programme for wider spread of GPAs across England</w:t>
      </w:r>
      <w:r>
        <w:t xml:space="preserve">.  </w:t>
      </w:r>
      <w:r w:rsidR="008030EA" w:rsidRPr="00B3762A">
        <w:t xml:space="preserve">  </w:t>
      </w:r>
    </w:p>
    <w:p w14:paraId="5492D5FB" w14:textId="096BBAA5" w:rsidR="0071056D" w:rsidRDefault="008030EA" w:rsidP="000B04CB">
      <w:r w:rsidRPr="00B3762A">
        <w:t>In February 2019, following expressions of interest,</w:t>
      </w:r>
      <w:r w:rsidR="0071056D" w:rsidRPr="00B3762A">
        <w:t xml:space="preserve"> a </w:t>
      </w:r>
      <w:r w:rsidRPr="00B3762A">
        <w:t>‘lead’ Training Hub w</w:t>
      </w:r>
      <w:r w:rsidR="0071056D" w:rsidRPr="00B3762A">
        <w:t xml:space="preserve">as </w:t>
      </w:r>
      <w:r w:rsidRPr="00B3762A">
        <w:t xml:space="preserve">identified to host and co-ordinate </w:t>
      </w:r>
      <w:r w:rsidR="00581337" w:rsidRPr="00B3762A">
        <w:t xml:space="preserve">the spread of GPAs </w:t>
      </w:r>
      <w:r w:rsidRPr="00B3762A">
        <w:t>across each of seven regional footprints (see table below).</w:t>
      </w:r>
    </w:p>
    <w:p w14:paraId="5E918BA4" w14:textId="6664FBD3" w:rsidR="00581337" w:rsidRPr="00B3762A" w:rsidRDefault="00581337" w:rsidP="000B04CB">
      <w:r w:rsidRPr="00B3762A">
        <w:t xml:space="preserve">Each ‘lead’ Training Hub will host and co-ordinate the introduction of a cohort of 40 GPA </w:t>
      </w:r>
      <w:proofErr w:type="gramStart"/>
      <w:r w:rsidRPr="00B3762A">
        <w:t>learners</w:t>
      </w:r>
      <w:proofErr w:type="gramEnd"/>
      <w:r w:rsidRPr="00B3762A">
        <w:t xml:space="preserve"> representative of their region.   </w:t>
      </w:r>
    </w:p>
    <w:p w14:paraId="7923E998" w14:textId="0B623696" w:rsidR="0071056D" w:rsidRPr="00B3762A" w:rsidRDefault="0071056D" w:rsidP="000B04CB">
      <w:r w:rsidRPr="00B3762A">
        <w:t>Support to adapt and implement the GPA role across the seven regions will be provided by HEE’s national workforce transformation team, to include ‘pump prime’ funding, tools, expertise and networking opportunities</w:t>
      </w:r>
      <w:r w:rsidR="00205144" w:rsidRPr="00B3762A">
        <w:t xml:space="preserve">.  </w:t>
      </w:r>
    </w:p>
    <w:p w14:paraId="4D67083D" w14:textId="56E67287" w:rsidR="00205144" w:rsidRPr="00B3762A" w:rsidRDefault="00205144" w:rsidP="00205144">
      <w:r w:rsidRPr="00B3762A">
        <w:t xml:space="preserve">The spread and adoption programme </w:t>
      </w:r>
      <w:proofErr w:type="gramStart"/>
      <w:r w:rsidRPr="00B3762A">
        <w:t>is</w:t>
      </w:r>
      <w:proofErr w:type="gramEnd"/>
      <w:r w:rsidRPr="00B3762A">
        <w:t xml:space="preserve"> due to run for 12 months from April 2019</w:t>
      </w:r>
      <w:r w:rsidR="002D254A">
        <w:t xml:space="preserve">, </w:t>
      </w:r>
      <w:r w:rsidRPr="00B3762A">
        <w:t>following a launch event in the Spring</w:t>
      </w:r>
      <w:r w:rsidR="002D254A">
        <w:t xml:space="preserve"> </w:t>
      </w:r>
      <w:r w:rsidR="00581337" w:rsidRPr="00B3762A">
        <w:t xml:space="preserve">that brought </w:t>
      </w:r>
      <w:r w:rsidRPr="00B3762A">
        <w:t xml:space="preserve">‘lead’ Training Hubs together for the first time.   </w:t>
      </w:r>
    </w:p>
    <w:p w14:paraId="444EB40B" w14:textId="77777777" w:rsidR="002D254A" w:rsidRDefault="00581337" w:rsidP="00205144">
      <w:r w:rsidRPr="00B3762A">
        <w:t xml:space="preserve">An online ‘Teams’ site has been established to provide Training Hub leads with a forum for ongoing discussions and sharing of resources. </w:t>
      </w:r>
    </w:p>
    <w:p w14:paraId="6E733A4D" w14:textId="43FD1A84" w:rsidR="00581337" w:rsidRDefault="002D254A" w:rsidP="00205144">
      <w:r>
        <w:t xml:space="preserve">The </w:t>
      </w:r>
      <w:proofErr w:type="spellStart"/>
      <w:r>
        <w:t>LeaDER</w:t>
      </w:r>
      <w:proofErr w:type="spellEnd"/>
      <w:r>
        <w:t xml:space="preserve"> Evaluation Framework will be used as a consistent approach, to measure the impact of GPAs against the quadruple aims of patient experience, population health, sustainable costs and staff wellbeing.</w:t>
      </w:r>
      <w:r w:rsidR="00581337" w:rsidRPr="00B3762A">
        <w:t xml:space="preserve"> </w:t>
      </w:r>
    </w:p>
    <w:p w14:paraId="5FEF0A20" w14:textId="2CB4F24E" w:rsidR="002D254A" w:rsidRPr="00B3762A" w:rsidRDefault="002D254A" w:rsidP="00205144">
      <w:r>
        <w:t>For further information</w:t>
      </w:r>
      <w:r w:rsidR="00030753">
        <w:t xml:space="preserve"> about the spread and adoption programme</w:t>
      </w:r>
      <w:r>
        <w:t xml:space="preserve">, please contact </w:t>
      </w:r>
      <w:hyperlink r:id="rId5" w:history="1">
        <w:r w:rsidRPr="00A26AD9">
          <w:rPr>
            <w:rStyle w:val="Hyperlink"/>
          </w:rPr>
          <w:t>transformation@hee.nhs.uk</w:t>
        </w:r>
      </w:hyperlink>
      <w:r>
        <w:t xml:space="preserve"> </w:t>
      </w:r>
    </w:p>
    <w:p w14:paraId="47C182C4" w14:textId="73B03D92" w:rsidR="00205144" w:rsidRDefault="00205144" w:rsidP="00205144">
      <w:pPr>
        <w:rPr>
          <w:sz w:val="24"/>
          <w:szCs w:val="24"/>
        </w:rPr>
      </w:pPr>
      <w:r w:rsidRPr="00581337">
        <w:rPr>
          <w:sz w:val="24"/>
          <w:szCs w:val="24"/>
        </w:rPr>
        <w:t xml:space="preserve">   </w:t>
      </w:r>
    </w:p>
    <w:tbl>
      <w:tblPr>
        <w:tblStyle w:val="TableGrid"/>
        <w:tblW w:w="0" w:type="auto"/>
        <w:tblLook w:val="04A0" w:firstRow="1" w:lastRow="0" w:firstColumn="1" w:lastColumn="0" w:noHBand="0" w:noVBand="1"/>
      </w:tblPr>
      <w:tblGrid>
        <w:gridCol w:w="2468"/>
        <w:gridCol w:w="3371"/>
        <w:gridCol w:w="3177"/>
      </w:tblGrid>
      <w:tr w:rsidR="00E93337" w14:paraId="17C75D4E" w14:textId="77777777" w:rsidTr="00E93337">
        <w:tc>
          <w:tcPr>
            <w:tcW w:w="2547" w:type="dxa"/>
          </w:tcPr>
          <w:p w14:paraId="54444439" w14:textId="7F72E111" w:rsidR="00E93337" w:rsidRPr="00E93337" w:rsidRDefault="00E93337" w:rsidP="00205144">
            <w:pPr>
              <w:rPr>
                <w:b/>
              </w:rPr>
            </w:pPr>
            <w:r w:rsidRPr="00E93337">
              <w:rPr>
                <w:b/>
              </w:rPr>
              <w:t>Region</w:t>
            </w:r>
          </w:p>
        </w:tc>
        <w:tc>
          <w:tcPr>
            <w:tcW w:w="3463" w:type="dxa"/>
          </w:tcPr>
          <w:p w14:paraId="59FA2489" w14:textId="27BB3F89" w:rsidR="00E93337" w:rsidRPr="00E93337" w:rsidRDefault="00E93337" w:rsidP="00E93337">
            <w:pPr>
              <w:rPr>
                <w:b/>
              </w:rPr>
            </w:pPr>
            <w:r w:rsidRPr="00E93337">
              <w:rPr>
                <w:b/>
              </w:rPr>
              <w:t>GPA Lead Training Hub</w:t>
            </w:r>
          </w:p>
        </w:tc>
        <w:tc>
          <w:tcPr>
            <w:tcW w:w="3006" w:type="dxa"/>
          </w:tcPr>
          <w:p w14:paraId="6C586FD6" w14:textId="543FFC9D" w:rsidR="00E93337" w:rsidRPr="00E93337" w:rsidRDefault="00E93337" w:rsidP="00205144">
            <w:pPr>
              <w:rPr>
                <w:b/>
              </w:rPr>
            </w:pPr>
            <w:r w:rsidRPr="00E93337">
              <w:rPr>
                <w:b/>
              </w:rPr>
              <w:t>Contact</w:t>
            </w:r>
          </w:p>
        </w:tc>
      </w:tr>
      <w:tr w:rsidR="00E93337" w14:paraId="6A3196D5" w14:textId="77777777" w:rsidTr="00E93337">
        <w:tc>
          <w:tcPr>
            <w:tcW w:w="2547" w:type="dxa"/>
          </w:tcPr>
          <w:p w14:paraId="565336DA" w14:textId="371EA4B1" w:rsidR="00E93337" w:rsidRPr="00E93337" w:rsidRDefault="00E93337" w:rsidP="00205144">
            <w:r w:rsidRPr="00E93337">
              <w:t>East of England</w:t>
            </w:r>
          </w:p>
        </w:tc>
        <w:tc>
          <w:tcPr>
            <w:tcW w:w="3463" w:type="dxa"/>
          </w:tcPr>
          <w:p w14:paraId="516C27E7" w14:textId="5BEE0F00" w:rsidR="00E93337" w:rsidRPr="00E93337" w:rsidRDefault="00E93337" w:rsidP="00205144">
            <w:r w:rsidRPr="00E93337">
              <w:t xml:space="preserve">Norfolk &amp; Waveney </w:t>
            </w:r>
          </w:p>
        </w:tc>
        <w:tc>
          <w:tcPr>
            <w:tcW w:w="3006" w:type="dxa"/>
          </w:tcPr>
          <w:p w14:paraId="3D43B989" w14:textId="3AC7732E" w:rsidR="00E93337" w:rsidRPr="00E93337" w:rsidRDefault="00694838" w:rsidP="00205144">
            <w:r>
              <w:t>Jayde.robinson@nhs.net</w:t>
            </w:r>
          </w:p>
        </w:tc>
      </w:tr>
      <w:tr w:rsidR="00E93337" w14:paraId="1BCB8E2B" w14:textId="77777777" w:rsidTr="00E93337">
        <w:tc>
          <w:tcPr>
            <w:tcW w:w="2547" w:type="dxa"/>
          </w:tcPr>
          <w:p w14:paraId="0B744FF6" w14:textId="624BCB6D" w:rsidR="00E93337" w:rsidRPr="00E93337" w:rsidRDefault="00E93337" w:rsidP="00205144">
            <w:r w:rsidRPr="00E93337">
              <w:t>Midlands</w:t>
            </w:r>
          </w:p>
        </w:tc>
        <w:tc>
          <w:tcPr>
            <w:tcW w:w="3463" w:type="dxa"/>
          </w:tcPr>
          <w:p w14:paraId="082C3709" w14:textId="07CCC623" w:rsidR="00E93337" w:rsidRPr="00E93337" w:rsidRDefault="00E93337" w:rsidP="00205144">
            <w:r>
              <w:t>Nottinghamshire Alliance</w:t>
            </w:r>
          </w:p>
        </w:tc>
        <w:tc>
          <w:tcPr>
            <w:tcW w:w="3006" w:type="dxa"/>
          </w:tcPr>
          <w:p w14:paraId="2347FD42" w14:textId="2FB4F1DE" w:rsidR="00E93337" w:rsidRPr="00E93337" w:rsidRDefault="00694838" w:rsidP="00205144">
            <w:r>
              <w:t>David.peachey@nhs.net</w:t>
            </w:r>
          </w:p>
        </w:tc>
      </w:tr>
      <w:tr w:rsidR="00E93337" w14:paraId="17A0CDEE" w14:textId="77777777" w:rsidTr="00E93337">
        <w:tc>
          <w:tcPr>
            <w:tcW w:w="2547" w:type="dxa"/>
          </w:tcPr>
          <w:p w14:paraId="6B19BC25" w14:textId="73073747" w:rsidR="00E93337" w:rsidRPr="00E93337" w:rsidRDefault="00E93337" w:rsidP="00205144">
            <w:r w:rsidRPr="00E93337">
              <w:t>London</w:t>
            </w:r>
          </w:p>
        </w:tc>
        <w:tc>
          <w:tcPr>
            <w:tcW w:w="3463" w:type="dxa"/>
          </w:tcPr>
          <w:p w14:paraId="5553BDF1" w14:textId="04D8D0D1" w:rsidR="00E93337" w:rsidRPr="00E93337" w:rsidRDefault="00E93337" w:rsidP="00205144">
            <w:r>
              <w:t>Joint London Training Hubs</w:t>
            </w:r>
          </w:p>
        </w:tc>
        <w:tc>
          <w:tcPr>
            <w:tcW w:w="3006" w:type="dxa"/>
          </w:tcPr>
          <w:p w14:paraId="08AAB2FA" w14:textId="5F4927FE" w:rsidR="00E93337" w:rsidRPr="00E93337" w:rsidRDefault="002B3D6E" w:rsidP="00205144">
            <w:r>
              <w:t>Sian.kitchen@hee.nhs.uk</w:t>
            </w:r>
          </w:p>
        </w:tc>
      </w:tr>
      <w:tr w:rsidR="00E93337" w14:paraId="3C24B261" w14:textId="77777777" w:rsidTr="00E93337">
        <w:tc>
          <w:tcPr>
            <w:tcW w:w="2547" w:type="dxa"/>
          </w:tcPr>
          <w:p w14:paraId="0F08E447" w14:textId="7FD7D997" w:rsidR="00E93337" w:rsidRPr="00E93337" w:rsidRDefault="00E93337" w:rsidP="00205144">
            <w:r w:rsidRPr="00E93337">
              <w:t>North East &amp; Yorkshire</w:t>
            </w:r>
          </w:p>
        </w:tc>
        <w:tc>
          <w:tcPr>
            <w:tcW w:w="3463" w:type="dxa"/>
          </w:tcPr>
          <w:p w14:paraId="632A2FD6" w14:textId="7B2E0773" w:rsidR="00E93337" w:rsidRPr="00E93337" w:rsidRDefault="00694838" w:rsidP="00205144">
            <w:r>
              <w:t>West Yorkshire &amp; Harrogate</w:t>
            </w:r>
          </w:p>
        </w:tc>
        <w:tc>
          <w:tcPr>
            <w:tcW w:w="3006" w:type="dxa"/>
          </w:tcPr>
          <w:p w14:paraId="647A1FD9" w14:textId="2F9BCED0" w:rsidR="00E93337" w:rsidRPr="00E93337" w:rsidRDefault="002B3D6E" w:rsidP="00205144">
            <w:r>
              <w:t>Nick.nurden@bradford.nhs.uk</w:t>
            </w:r>
          </w:p>
        </w:tc>
      </w:tr>
      <w:tr w:rsidR="00E93337" w14:paraId="68E41B67" w14:textId="77777777" w:rsidTr="00E93337">
        <w:tc>
          <w:tcPr>
            <w:tcW w:w="2547" w:type="dxa"/>
          </w:tcPr>
          <w:p w14:paraId="66DC1851" w14:textId="27E27D66" w:rsidR="00E93337" w:rsidRPr="00E93337" w:rsidRDefault="00E93337" w:rsidP="00205144">
            <w:r w:rsidRPr="00E93337">
              <w:t>North West</w:t>
            </w:r>
          </w:p>
        </w:tc>
        <w:tc>
          <w:tcPr>
            <w:tcW w:w="3463" w:type="dxa"/>
          </w:tcPr>
          <w:p w14:paraId="249DB68A" w14:textId="718FE2B5" w:rsidR="00E93337" w:rsidRPr="00E93337" w:rsidRDefault="00694838" w:rsidP="00205144">
            <w:r>
              <w:t>The Spinney Group, St Helens</w:t>
            </w:r>
          </w:p>
        </w:tc>
        <w:tc>
          <w:tcPr>
            <w:tcW w:w="3006" w:type="dxa"/>
          </w:tcPr>
          <w:p w14:paraId="5170A12D" w14:textId="2400666B" w:rsidR="00E93337" w:rsidRPr="00E93337" w:rsidRDefault="002B3D6E" w:rsidP="00205144">
            <w:r>
              <w:t>Katie.power@sthelensccg.nhs.uk</w:t>
            </w:r>
          </w:p>
        </w:tc>
      </w:tr>
      <w:tr w:rsidR="00E93337" w14:paraId="6B35BE82" w14:textId="77777777" w:rsidTr="00E93337">
        <w:tc>
          <w:tcPr>
            <w:tcW w:w="2547" w:type="dxa"/>
          </w:tcPr>
          <w:p w14:paraId="11FC3961" w14:textId="10713FD0" w:rsidR="00E93337" w:rsidRPr="00E93337" w:rsidRDefault="00E93337" w:rsidP="00205144">
            <w:r w:rsidRPr="00E93337">
              <w:t>South East</w:t>
            </w:r>
          </w:p>
        </w:tc>
        <w:tc>
          <w:tcPr>
            <w:tcW w:w="3463" w:type="dxa"/>
          </w:tcPr>
          <w:p w14:paraId="1431F47D" w14:textId="4DBD50CC" w:rsidR="00E93337" w:rsidRPr="00E93337" w:rsidRDefault="00694838" w:rsidP="00205144">
            <w:r>
              <w:t>Joint South East Training Hubs</w:t>
            </w:r>
          </w:p>
        </w:tc>
        <w:tc>
          <w:tcPr>
            <w:tcW w:w="3006" w:type="dxa"/>
          </w:tcPr>
          <w:p w14:paraId="5B7D265E" w14:textId="35ED4A4C" w:rsidR="00E93337" w:rsidRPr="00E93337" w:rsidRDefault="002B3D6E" w:rsidP="00205144">
            <w:r>
              <w:t>Annette.farrell@hee.nhs.uk</w:t>
            </w:r>
          </w:p>
        </w:tc>
      </w:tr>
      <w:tr w:rsidR="00E93337" w14:paraId="597182B9" w14:textId="77777777" w:rsidTr="00E93337">
        <w:tc>
          <w:tcPr>
            <w:tcW w:w="2547" w:type="dxa"/>
          </w:tcPr>
          <w:p w14:paraId="07DA83AE" w14:textId="3932D374" w:rsidR="00E93337" w:rsidRPr="00E93337" w:rsidRDefault="00E93337" w:rsidP="00205144">
            <w:r w:rsidRPr="00E93337">
              <w:t>South West</w:t>
            </w:r>
          </w:p>
        </w:tc>
        <w:tc>
          <w:tcPr>
            <w:tcW w:w="3463" w:type="dxa"/>
          </w:tcPr>
          <w:p w14:paraId="64FA66D3" w14:textId="14FD1A96" w:rsidR="00E93337" w:rsidRPr="00E93337" w:rsidRDefault="00694838" w:rsidP="00205144">
            <w:r>
              <w:t>Wiltshire Training Hub</w:t>
            </w:r>
          </w:p>
        </w:tc>
        <w:tc>
          <w:tcPr>
            <w:tcW w:w="3006" w:type="dxa"/>
          </w:tcPr>
          <w:p w14:paraId="7547AAD4" w14:textId="5E3E4656" w:rsidR="00E93337" w:rsidRPr="00E93337" w:rsidRDefault="002B3D6E" w:rsidP="00205144">
            <w:r>
              <w:t>Hilary.fairfield@nhs.net</w:t>
            </w:r>
          </w:p>
        </w:tc>
      </w:tr>
    </w:tbl>
    <w:p w14:paraId="4B36FD47" w14:textId="77777777" w:rsidR="00E93337" w:rsidRPr="00581337" w:rsidRDefault="00E93337" w:rsidP="00205144">
      <w:pPr>
        <w:rPr>
          <w:sz w:val="24"/>
          <w:szCs w:val="24"/>
        </w:rPr>
      </w:pPr>
    </w:p>
    <w:p w14:paraId="5C876732" w14:textId="77777777" w:rsidR="00205144" w:rsidRPr="00581337" w:rsidRDefault="00205144" w:rsidP="000B04CB">
      <w:pPr>
        <w:rPr>
          <w:sz w:val="24"/>
          <w:szCs w:val="24"/>
        </w:rPr>
      </w:pPr>
    </w:p>
    <w:p w14:paraId="4367ADC7" w14:textId="2BB95291" w:rsidR="0046485D" w:rsidRPr="00581337" w:rsidRDefault="0046485D" w:rsidP="0046485D">
      <w:pPr>
        <w:rPr>
          <w:sz w:val="24"/>
          <w:szCs w:val="24"/>
        </w:rPr>
      </w:pPr>
    </w:p>
    <w:sectPr w:rsidR="0046485D" w:rsidRPr="00581337" w:rsidSect="00527123">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01566"/>
    <w:multiLevelType w:val="hybridMultilevel"/>
    <w:tmpl w:val="BAE8F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CB"/>
    <w:rsid w:val="00030753"/>
    <w:rsid w:val="0004136A"/>
    <w:rsid w:val="000B04CB"/>
    <w:rsid w:val="0011452C"/>
    <w:rsid w:val="001221A5"/>
    <w:rsid w:val="00205144"/>
    <w:rsid w:val="00225400"/>
    <w:rsid w:val="00257820"/>
    <w:rsid w:val="0029753D"/>
    <w:rsid w:val="002B3D6E"/>
    <w:rsid w:val="002D254A"/>
    <w:rsid w:val="002E2412"/>
    <w:rsid w:val="0046485D"/>
    <w:rsid w:val="00514ED1"/>
    <w:rsid w:val="00527123"/>
    <w:rsid w:val="00581337"/>
    <w:rsid w:val="00694838"/>
    <w:rsid w:val="006B610C"/>
    <w:rsid w:val="006D1D94"/>
    <w:rsid w:val="0071056D"/>
    <w:rsid w:val="00714FBA"/>
    <w:rsid w:val="007D159F"/>
    <w:rsid w:val="008030EA"/>
    <w:rsid w:val="009F217F"/>
    <w:rsid w:val="00A16525"/>
    <w:rsid w:val="00B3762A"/>
    <w:rsid w:val="00B5587B"/>
    <w:rsid w:val="00BE50C2"/>
    <w:rsid w:val="00DE42F0"/>
    <w:rsid w:val="00E7361C"/>
    <w:rsid w:val="00E93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75109"/>
  <w15:chartTrackingRefBased/>
  <w15:docId w15:val="{A73545A7-7944-4CB2-9E78-6C68DF7A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1A5"/>
    <w:pPr>
      <w:spacing w:after="200" w:line="276" w:lineRule="auto"/>
      <w:ind w:left="720"/>
      <w:contextualSpacing/>
    </w:pPr>
  </w:style>
  <w:style w:type="character" w:styleId="Hyperlink">
    <w:name w:val="Hyperlink"/>
    <w:basedOn w:val="DefaultParagraphFont"/>
    <w:uiPriority w:val="99"/>
    <w:unhideWhenUsed/>
    <w:rsid w:val="002D254A"/>
    <w:rPr>
      <w:color w:val="0563C1" w:themeColor="hyperlink"/>
      <w:u w:val="single"/>
    </w:rPr>
  </w:style>
  <w:style w:type="character" w:styleId="UnresolvedMention">
    <w:name w:val="Unresolved Mention"/>
    <w:basedOn w:val="DefaultParagraphFont"/>
    <w:uiPriority w:val="99"/>
    <w:semiHidden/>
    <w:unhideWhenUsed/>
    <w:rsid w:val="002D254A"/>
    <w:rPr>
      <w:color w:val="605E5C"/>
      <w:shd w:val="clear" w:color="auto" w:fill="E1DFDD"/>
    </w:rPr>
  </w:style>
  <w:style w:type="table" w:styleId="TableGrid">
    <w:name w:val="Table Grid"/>
    <w:basedOn w:val="TableNormal"/>
    <w:uiPriority w:val="39"/>
    <w:rsid w:val="00E93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70904">
      <w:bodyDiv w:val="1"/>
      <w:marLeft w:val="0"/>
      <w:marRight w:val="0"/>
      <w:marTop w:val="0"/>
      <w:marBottom w:val="0"/>
      <w:divBdr>
        <w:top w:val="none" w:sz="0" w:space="0" w:color="auto"/>
        <w:left w:val="none" w:sz="0" w:space="0" w:color="auto"/>
        <w:bottom w:val="none" w:sz="0" w:space="0" w:color="auto"/>
        <w:right w:val="none" w:sz="0" w:space="0" w:color="auto"/>
      </w:divBdr>
    </w:div>
    <w:div w:id="125909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ansformation@hee.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1</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Swift Juliette (NWHEE)</dc:creator>
  <cp:keywords/>
  <dc:description/>
  <cp:lastModifiedBy>Swift Juliette (NWHEE)</cp:lastModifiedBy>
  <cp:revision>9</cp:revision>
  <dcterms:created xsi:type="dcterms:W3CDTF">2019-05-07T11:13:00Z</dcterms:created>
  <dcterms:modified xsi:type="dcterms:W3CDTF">2019-05-08T11:47:00Z</dcterms:modified>
</cp:coreProperties>
</file>