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454F8BF1" w14:textId="77777777" w:rsidR="00D56E29" w:rsidRDefault="00D56E29"/>
          <w:p w14:paraId="351ECFC7" w14:textId="2DC556AA" w:rsidR="00D56E29" w:rsidRDefault="00435F71" w:rsidP="00674216">
            <w:r>
              <w:t xml:space="preserve">This is to certify that </w:t>
            </w:r>
            <w:r w:rsidR="007C5508">
              <w:rPr>
                <w:i/>
                <w:color w:val="FF0000"/>
              </w:rPr>
              <w:t>XX</w:t>
            </w:r>
            <w:r>
              <w:t xml:space="preserve">, GDC number </w:t>
            </w:r>
            <w:proofErr w:type="spellStart"/>
            <w:r w:rsidR="007C5508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674216">
              <w:t xml:space="preserve">e-Den Module 3 - Anxiety and Pain Control in Dentistry.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1D041096" w14:textId="77777777" w:rsidR="00D56E29" w:rsidRDefault="00D56E29">
            <w:pPr>
              <w:rPr>
                <w:b/>
              </w:rPr>
            </w:pPr>
          </w:p>
          <w:p w14:paraId="5C4A35FD" w14:textId="77777777" w:rsidR="00D56E29" w:rsidRDefault="00983458">
            <w:r w:rsidRPr="009A4DD0">
              <w:rPr>
                <w:b/>
              </w:rPr>
              <w:t>Aim</w:t>
            </w:r>
            <w:r>
              <w:t xml:space="preserve">: To demonstrate an understanding </w:t>
            </w:r>
            <w:r w:rsidR="00047054">
              <w:t xml:space="preserve">of the </w:t>
            </w:r>
            <w:r w:rsidR="002463CE">
              <w:t xml:space="preserve">main principles of dental pain and anxiety. </w:t>
            </w:r>
          </w:p>
          <w:p w14:paraId="127BAABE" w14:textId="64243676" w:rsidR="002463CE" w:rsidRDefault="002463CE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3EF3D71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4ABFE653" w:rsidR="00D56E29" w:rsidRDefault="00D56E29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2721F9EF" w:rsidR="00F87598" w:rsidRDefault="00F87598" w:rsidP="00F87598">
            <w:r>
              <w:t xml:space="preserve">By the end of this module, the learner can demonstrate an understanding of: </w:t>
            </w:r>
          </w:p>
          <w:p w14:paraId="4B85CB79" w14:textId="77777777" w:rsidR="00FD3D95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Principles of Dental Pain</w:t>
            </w:r>
          </w:p>
          <w:p w14:paraId="788E4C19" w14:textId="77777777" w:rsidR="00FD3D95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Mediators of Central Pain</w:t>
            </w:r>
          </w:p>
          <w:p w14:paraId="184CEE76" w14:textId="77777777" w:rsidR="00FD3D95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Dental Local Anaesthesia</w:t>
            </w:r>
          </w:p>
          <w:p w14:paraId="50275642" w14:textId="77777777" w:rsidR="00FD3D95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Dental Local Anaesthetic Technique</w:t>
            </w:r>
          </w:p>
          <w:p w14:paraId="7187133B" w14:textId="77777777" w:rsidR="00FD3D95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Management of Dental Pain</w:t>
            </w:r>
          </w:p>
          <w:p w14:paraId="0C84F1CF" w14:textId="77777777" w:rsidR="00FD3D95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Non-Pharmacological Anxiety Management</w:t>
            </w:r>
          </w:p>
          <w:p w14:paraId="5629BE26" w14:textId="77777777" w:rsidR="00FD3D95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Intravenous Sedation</w:t>
            </w:r>
          </w:p>
          <w:p w14:paraId="2FEFA494" w14:textId="77777777" w:rsidR="00FD3D95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Inhalation Sedation</w:t>
            </w:r>
          </w:p>
          <w:p w14:paraId="32F429D1" w14:textId="77777777" w:rsidR="00F87598" w:rsidRDefault="00FD3D95" w:rsidP="00FD3D95">
            <w:pPr>
              <w:pStyle w:val="ListParagraph"/>
              <w:numPr>
                <w:ilvl w:val="0"/>
                <w:numId w:val="3"/>
              </w:numPr>
            </w:pPr>
            <w:r>
              <w:t>Dental General Anaesthesi</w:t>
            </w:r>
            <w:r>
              <w:t>a</w:t>
            </w:r>
          </w:p>
          <w:p w14:paraId="0CED6BCD" w14:textId="1A9721B0" w:rsidR="00472599" w:rsidRDefault="00472599" w:rsidP="00472599">
            <w:pPr>
              <w:pStyle w:val="ListParagraph"/>
              <w:ind w:left="1130"/>
            </w:pPr>
            <w:bookmarkStart w:id="0" w:name="_GoBack"/>
            <w:bookmarkEnd w:id="0"/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02204AC3" w14:textId="195605F4" w:rsidR="00E966E0" w:rsidRDefault="00674216">
            <w:r>
              <w:t>The control of pain and anxiety is an integral part of dental practice and good patient care. A sound understanding of the mechanisms and appropriate management options regarding pain and anxiety is therefore essential for all dental practitioners. This course outlines this subject area and provide</w:t>
            </w:r>
            <w:r w:rsidR="00444FB5">
              <w:t xml:space="preserve">s </w:t>
            </w:r>
            <w:r>
              <w:t xml:space="preserve">the learner with a working knowledge of the main principles of dental pain and anxiety. </w:t>
            </w:r>
          </w:p>
          <w:p w14:paraId="13824177" w14:textId="4833B129" w:rsidR="00674216" w:rsidRDefault="00674216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6EA3E674" w14:textId="43E6609B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5424D">
              <w:rPr>
                <w:i/>
                <w:color w:val="FF0000"/>
              </w:rPr>
              <w:t xml:space="preserve">. </w:t>
            </w:r>
          </w:p>
          <w:p w14:paraId="72E351A5" w14:textId="1795F34F" w:rsidR="00D56E29" w:rsidRDefault="00D56E29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6D927B4D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20CCD84B" w:rsidR="00D56E29" w:rsidRDefault="00D56E29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0856F02A" w14:textId="6B8A3BC4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5424D">
              <w:t xml:space="preserve">. </w:t>
            </w:r>
          </w:p>
          <w:p w14:paraId="3235D9E0" w14:textId="279132CF" w:rsidR="00D56E29" w:rsidRDefault="00D56E29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72C01"/>
    <w:multiLevelType w:val="hybridMultilevel"/>
    <w:tmpl w:val="DB2CEB08"/>
    <w:lvl w:ilvl="0" w:tplc="080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47054"/>
    <w:rsid w:val="0010012F"/>
    <w:rsid w:val="002463CE"/>
    <w:rsid w:val="00340D47"/>
    <w:rsid w:val="00345B35"/>
    <w:rsid w:val="003B46DD"/>
    <w:rsid w:val="00435F71"/>
    <w:rsid w:val="00441A17"/>
    <w:rsid w:val="00444FB5"/>
    <w:rsid w:val="00472599"/>
    <w:rsid w:val="004C7360"/>
    <w:rsid w:val="005B15A7"/>
    <w:rsid w:val="00674216"/>
    <w:rsid w:val="006D56AF"/>
    <w:rsid w:val="00742EB6"/>
    <w:rsid w:val="007C5508"/>
    <w:rsid w:val="008548E9"/>
    <w:rsid w:val="00983458"/>
    <w:rsid w:val="009A4DD0"/>
    <w:rsid w:val="00A039AC"/>
    <w:rsid w:val="00A40658"/>
    <w:rsid w:val="00A77757"/>
    <w:rsid w:val="00C831C5"/>
    <w:rsid w:val="00D56E29"/>
    <w:rsid w:val="00D96376"/>
    <w:rsid w:val="00E5424D"/>
    <w:rsid w:val="00E966E0"/>
    <w:rsid w:val="00F87598"/>
    <w:rsid w:val="00FD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0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0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26</cp:revision>
  <dcterms:created xsi:type="dcterms:W3CDTF">2018-04-13T13:03:00Z</dcterms:created>
  <dcterms:modified xsi:type="dcterms:W3CDTF">2018-05-17T11:27:00Z</dcterms:modified>
</cp:coreProperties>
</file>