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87"/>
      </w:tblGrid>
      <w:tr w:rsidR="009E5E21" w14:paraId="5A725356" w14:textId="77777777" w:rsidTr="00DA0A9A">
        <w:tc>
          <w:tcPr>
            <w:tcW w:w="2547" w:type="dxa"/>
          </w:tcPr>
          <w:p w14:paraId="7726BCA0" w14:textId="5FB908ED" w:rsidR="009E5E21" w:rsidRDefault="009E5E21">
            <w:r>
              <w:rPr>
                <w:noProof/>
              </w:rPr>
              <w:drawing>
                <wp:inline distT="0" distB="0" distL="0" distR="0" wp14:anchorId="589855F8" wp14:editId="6726FE2E">
                  <wp:extent cx="857250" cy="5753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5D27C9B7" w14:textId="76045179" w:rsidR="009E5E21" w:rsidRDefault="009E5E21" w:rsidP="00DA0A9A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2"/>
          </w:tcPr>
          <w:p w14:paraId="5982EF18" w14:textId="77777777" w:rsidR="004A270A" w:rsidRDefault="004A270A"/>
          <w:p w14:paraId="323A9902" w14:textId="39991CF9" w:rsidR="00435F71" w:rsidRDefault="00435F71" w:rsidP="004062FE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 xml:space="preserve">, has completed </w:t>
            </w:r>
            <w:r w:rsidR="008C05ED">
              <w:t xml:space="preserve">Alcohol and </w:t>
            </w:r>
            <w:r w:rsidR="004062FE">
              <w:t>T</w:t>
            </w:r>
            <w:r w:rsidR="00C23A5C">
              <w:t>obacco brief interventions</w:t>
            </w:r>
            <w:r w:rsidR="004062FE">
              <w:t>.</w:t>
            </w:r>
          </w:p>
          <w:p w14:paraId="351ECFC7" w14:textId="64DDF631" w:rsidR="004062FE" w:rsidRDefault="004062FE" w:rsidP="004062FE"/>
        </w:tc>
      </w:tr>
      <w:tr w:rsidR="00983458" w14:paraId="2D51E549" w14:textId="77777777" w:rsidTr="00441A17">
        <w:tc>
          <w:tcPr>
            <w:tcW w:w="9634" w:type="dxa"/>
            <w:gridSpan w:val="2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69119EC" w14:textId="4F5DFDCC" w:rsidR="00983458" w:rsidRDefault="00983458">
            <w:r w:rsidRPr="009A4DD0">
              <w:rPr>
                <w:b/>
              </w:rPr>
              <w:t>Aim</w:t>
            </w:r>
            <w:r>
              <w:t xml:space="preserve">: To </w:t>
            </w:r>
            <w:r w:rsidR="00947FCC">
              <w:t xml:space="preserve">explain why it is our responsibility </w:t>
            </w:r>
            <w:r w:rsidR="00EF20D5">
              <w:t xml:space="preserve">as health professionals to provide </w:t>
            </w:r>
            <w:r w:rsidR="008C0676">
              <w:t xml:space="preserve">brief interventions that will identify and promote </w:t>
            </w:r>
            <w:r w:rsidR="00FA1374">
              <w:t>change in smoking and alcohol use</w:t>
            </w:r>
            <w:r w:rsidR="0049137E">
              <w:t xml:space="preserve">.  </w:t>
            </w:r>
            <w:r w:rsidR="00DF1DE8">
              <w:t>To</w:t>
            </w:r>
            <w:r w:rsidR="0049137E">
              <w:t xml:space="preserve"> </w:t>
            </w:r>
            <w:r w:rsidR="00DF18CC">
              <w:t xml:space="preserve">outline the evidence of </w:t>
            </w:r>
            <w:r w:rsidR="00DF1DE8">
              <w:t xml:space="preserve">the </w:t>
            </w:r>
            <w:bookmarkStart w:id="0" w:name="_GoBack"/>
            <w:bookmarkEnd w:id="0"/>
            <w:r w:rsidR="00DF18CC">
              <w:t>effectiveness</w:t>
            </w:r>
            <w:r w:rsidR="00C748DF">
              <w:t xml:space="preserve"> of Very Brief Advice on Smoking</w:t>
            </w:r>
            <w:r w:rsidR="004E4F35">
              <w:t xml:space="preserve"> (VBA) and Alcohol </w:t>
            </w:r>
            <w:r w:rsidR="00424E5A">
              <w:t>Brief Advice.</w:t>
            </w:r>
          </w:p>
          <w:p w14:paraId="127BAABE" w14:textId="0C496414" w:rsidR="004A270A" w:rsidRDefault="004A270A"/>
        </w:tc>
      </w:tr>
      <w:tr w:rsidR="003B46DD" w14:paraId="18F26444" w14:textId="77777777" w:rsidTr="00441A17">
        <w:tc>
          <w:tcPr>
            <w:tcW w:w="9634" w:type="dxa"/>
            <w:gridSpan w:val="2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 xml:space="preserve">e-LfH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DA0A9A">
        <w:tc>
          <w:tcPr>
            <w:tcW w:w="2547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7087" w:type="dxa"/>
          </w:tcPr>
          <w:p w14:paraId="6CC96A8F" w14:textId="77777777" w:rsidR="009A4DD0" w:rsidRDefault="009A4DD0" w:rsidP="00F87598"/>
          <w:p w14:paraId="22BF52D4" w14:textId="63C4B7DB" w:rsidR="005501CE" w:rsidRDefault="00F87598" w:rsidP="0042161F">
            <w:r>
              <w:t xml:space="preserve">By the end of this </w:t>
            </w:r>
            <w:r w:rsidR="00E047DE">
              <w:t>session</w:t>
            </w:r>
            <w:r w:rsidR="0042161F">
              <w:t xml:space="preserve"> you will be able to:</w:t>
            </w:r>
          </w:p>
          <w:p w14:paraId="3FC3BC26" w14:textId="7E157754" w:rsidR="005501CE" w:rsidRDefault="0042161F" w:rsidP="005501CE">
            <w:pPr>
              <w:pStyle w:val="ListParagraph"/>
              <w:numPr>
                <w:ilvl w:val="0"/>
                <w:numId w:val="3"/>
              </w:numPr>
            </w:pPr>
            <w:r>
              <w:t xml:space="preserve">List </w:t>
            </w:r>
            <w:r w:rsidR="001E1F3E">
              <w:t xml:space="preserve">the broad range of health issues that are related </w:t>
            </w:r>
            <w:r w:rsidR="00472386">
              <w:t>to smoking and alcohol use</w:t>
            </w:r>
          </w:p>
          <w:p w14:paraId="1A752C2E" w14:textId="47B90166" w:rsidR="008D24A5" w:rsidRDefault="00385F95" w:rsidP="00385F95">
            <w:pPr>
              <w:pStyle w:val="ListParagraph"/>
              <w:numPr>
                <w:ilvl w:val="0"/>
                <w:numId w:val="3"/>
              </w:numPr>
            </w:pPr>
            <w:r>
              <w:t xml:space="preserve">Recognise </w:t>
            </w:r>
            <w:r w:rsidR="00851F4B">
              <w:t>why Very Brief Advice</w:t>
            </w:r>
            <w:r w:rsidR="00BC739C">
              <w:t xml:space="preserve"> on Smoking and Alcohol</w:t>
            </w:r>
            <w:r w:rsidR="000F47EE">
              <w:t xml:space="preserve"> screening and Brief Advice are recomm</w:t>
            </w:r>
            <w:r w:rsidR="00377D57">
              <w:t>en</w:t>
            </w:r>
            <w:r w:rsidR="003164B3">
              <w:t>d</w:t>
            </w:r>
            <w:r w:rsidR="000F47EE">
              <w:t>ed as usual practice in secondary care</w:t>
            </w:r>
          </w:p>
          <w:p w14:paraId="1F776F0A" w14:textId="706AC1C1" w:rsidR="00751195" w:rsidRDefault="00751195" w:rsidP="00385F95">
            <w:pPr>
              <w:pStyle w:val="ListParagraph"/>
              <w:numPr>
                <w:ilvl w:val="0"/>
                <w:numId w:val="3"/>
              </w:numPr>
            </w:pPr>
            <w:r>
              <w:t xml:space="preserve">Recall what Very Brief Advice (VBA) </w:t>
            </w:r>
            <w:r w:rsidR="009B0C45">
              <w:t xml:space="preserve">on Smoking is and what is required </w:t>
            </w:r>
            <w:r w:rsidR="00CA3CAB">
              <w:t>for each of the three elements (ASK,</w:t>
            </w:r>
            <w:r w:rsidR="00306A0A">
              <w:t xml:space="preserve"> ADVISE, ACT)</w:t>
            </w:r>
          </w:p>
          <w:p w14:paraId="4A97F84E" w14:textId="05E5E4B7" w:rsidR="00B3154A" w:rsidRDefault="00B3154A" w:rsidP="00385F95">
            <w:pPr>
              <w:pStyle w:val="ListParagraph"/>
              <w:numPr>
                <w:ilvl w:val="0"/>
                <w:numId w:val="3"/>
              </w:numPr>
            </w:pPr>
            <w:r>
              <w:t xml:space="preserve">Offer tailored brief advice </w:t>
            </w:r>
            <w:r w:rsidR="00BE15CD">
              <w:t>on alcohol to your patients</w:t>
            </w:r>
            <w:r w:rsidR="000E0758">
              <w:t xml:space="preserve">, based on their level of </w:t>
            </w:r>
            <w:r w:rsidR="008706D7">
              <w:t>alcohol consumption</w:t>
            </w:r>
          </w:p>
          <w:p w14:paraId="5F83E113" w14:textId="087BD633" w:rsidR="002E56AA" w:rsidRDefault="002E56AA" w:rsidP="00385F95">
            <w:pPr>
              <w:pStyle w:val="ListParagraph"/>
              <w:numPr>
                <w:ilvl w:val="0"/>
                <w:numId w:val="3"/>
              </w:numPr>
            </w:pPr>
            <w:r>
              <w:t>Use a patient centred approach to talk to your patients</w:t>
            </w:r>
            <w:r w:rsidR="001C2C35">
              <w:t xml:space="preserve"> about smoking and alcohol consumption, and </w:t>
            </w:r>
            <w:r w:rsidR="00A01372">
              <w:t>support them with their behaviour</w:t>
            </w:r>
            <w:r w:rsidR="006B74F6">
              <w:t xml:space="preserve"> change</w:t>
            </w:r>
          </w:p>
          <w:p w14:paraId="0CED6BCD" w14:textId="4B86B9F2" w:rsidR="005501CE" w:rsidRDefault="005501CE" w:rsidP="005501CE">
            <w:pPr>
              <w:pStyle w:val="ListParagraph"/>
              <w:ind w:left="1440"/>
            </w:pPr>
          </w:p>
        </w:tc>
      </w:tr>
      <w:tr w:rsidR="00A77757" w14:paraId="07162C27" w14:textId="77777777" w:rsidTr="00DA0A9A">
        <w:tc>
          <w:tcPr>
            <w:tcW w:w="2547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7087" w:type="dxa"/>
          </w:tcPr>
          <w:p w14:paraId="462786C7" w14:textId="77777777" w:rsidR="009A4DD0" w:rsidRDefault="009A4DD0"/>
          <w:p w14:paraId="202EE715" w14:textId="6B16B01F" w:rsidR="00A77757" w:rsidRDefault="00A629B1">
            <w:r>
              <w:t>Alcohol misu</w:t>
            </w:r>
            <w:r w:rsidR="00EF40FF">
              <w:t>se and smoking are among the most signi</w:t>
            </w:r>
            <w:r w:rsidR="00F100F6">
              <w:t xml:space="preserve">ficant risk factors </w:t>
            </w:r>
            <w:r w:rsidR="000C7FE3">
              <w:t xml:space="preserve">contributing to ill health.  </w:t>
            </w:r>
            <w:r w:rsidR="005C43F5">
              <w:t xml:space="preserve">We know that </w:t>
            </w:r>
            <w:r w:rsidR="00241DC0">
              <w:t xml:space="preserve">interventions by those </w:t>
            </w:r>
            <w:r w:rsidR="00717F75">
              <w:t>of us working in healthcare</w:t>
            </w:r>
            <w:r w:rsidR="0001487F">
              <w:t xml:space="preserve"> on smoking and alcohol use are effective</w:t>
            </w:r>
            <w:r w:rsidR="00410BE8">
              <w:t>.  They save the NHS money</w:t>
            </w:r>
            <w:r w:rsidR="00F03C91">
              <w:t xml:space="preserve">, and most importantly, </w:t>
            </w:r>
            <w:r w:rsidR="00BC38E1">
              <w:t xml:space="preserve">they make our patients’ lives </w:t>
            </w:r>
            <w:r w:rsidR="00A90088">
              <w:t>better, and healthier.</w:t>
            </w:r>
          </w:p>
          <w:p w14:paraId="13824177" w14:textId="6292435B" w:rsidR="004A270A" w:rsidRDefault="004A270A"/>
        </w:tc>
      </w:tr>
      <w:tr w:rsidR="00345B35" w14:paraId="15C02426" w14:textId="77777777" w:rsidTr="00DA0A9A">
        <w:tc>
          <w:tcPr>
            <w:tcW w:w="2547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7087" w:type="dxa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DA0A9A">
        <w:tc>
          <w:tcPr>
            <w:tcW w:w="2547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7087" w:type="dxa"/>
          </w:tcPr>
          <w:p w14:paraId="44587006" w14:textId="77777777" w:rsidR="009A4DD0" w:rsidRDefault="009A4DD0"/>
          <w:p w14:paraId="1023E452" w14:textId="7C23B366" w:rsidR="00345B35" w:rsidRDefault="00B623BB">
            <w:r>
              <w:t xml:space="preserve">Health Education </w:t>
            </w:r>
            <w:r w:rsidR="00345B35">
              <w:t xml:space="preserve">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DA0A9A">
        <w:tc>
          <w:tcPr>
            <w:tcW w:w="2547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7087" w:type="dxa"/>
          </w:tcPr>
          <w:p w14:paraId="7CAD1B1B" w14:textId="77777777" w:rsidR="009A4DD0" w:rsidRDefault="009A4DD0"/>
          <w:p w14:paraId="0966D7A9" w14:textId="77777777" w:rsidR="00507CF0" w:rsidRDefault="00507CF0" w:rsidP="00507CF0">
            <w:r>
              <w:t xml:space="preserve">This CPD is subject to quality assurance by Andrew Dickenson, Regional Postgraduate Dental Dean, Midlands and East. </w:t>
            </w:r>
          </w:p>
          <w:p w14:paraId="3235D9E0" w14:textId="5BE07FB1" w:rsidR="00E94FCE" w:rsidRDefault="00E94FCE" w:rsidP="00456523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1487F"/>
    <w:rsid w:val="000C7FE3"/>
    <w:rsid w:val="000E0758"/>
    <w:rsid w:val="000F47EE"/>
    <w:rsid w:val="001C2C35"/>
    <w:rsid w:val="001E1F3E"/>
    <w:rsid w:val="00226DAB"/>
    <w:rsid w:val="00241DC0"/>
    <w:rsid w:val="00257553"/>
    <w:rsid w:val="002E56AA"/>
    <w:rsid w:val="00306A0A"/>
    <w:rsid w:val="003164B3"/>
    <w:rsid w:val="00340D47"/>
    <w:rsid w:val="00345B35"/>
    <w:rsid w:val="00377D57"/>
    <w:rsid w:val="00385F95"/>
    <w:rsid w:val="003B46DD"/>
    <w:rsid w:val="004062FE"/>
    <w:rsid w:val="00410BE8"/>
    <w:rsid w:val="0042161F"/>
    <w:rsid w:val="00424E5A"/>
    <w:rsid w:val="00435F71"/>
    <w:rsid w:val="00441A17"/>
    <w:rsid w:val="00456523"/>
    <w:rsid w:val="00472386"/>
    <w:rsid w:val="0049137E"/>
    <w:rsid w:val="004A270A"/>
    <w:rsid w:val="004C7360"/>
    <w:rsid w:val="004E4F35"/>
    <w:rsid w:val="00507CF0"/>
    <w:rsid w:val="005501CE"/>
    <w:rsid w:val="005C43F5"/>
    <w:rsid w:val="005D4F55"/>
    <w:rsid w:val="006B74F6"/>
    <w:rsid w:val="006D56AF"/>
    <w:rsid w:val="00717F75"/>
    <w:rsid w:val="00751195"/>
    <w:rsid w:val="007B6358"/>
    <w:rsid w:val="00812293"/>
    <w:rsid w:val="00851F4B"/>
    <w:rsid w:val="008548E9"/>
    <w:rsid w:val="008706D7"/>
    <w:rsid w:val="008C05ED"/>
    <w:rsid w:val="008C0676"/>
    <w:rsid w:val="008D24A5"/>
    <w:rsid w:val="009235AD"/>
    <w:rsid w:val="00947FCC"/>
    <w:rsid w:val="00983458"/>
    <w:rsid w:val="009A4DD0"/>
    <w:rsid w:val="009A6D53"/>
    <w:rsid w:val="009B0C45"/>
    <w:rsid w:val="009E05B2"/>
    <w:rsid w:val="009E5E21"/>
    <w:rsid w:val="00A01372"/>
    <w:rsid w:val="00A039AC"/>
    <w:rsid w:val="00A40658"/>
    <w:rsid w:val="00A629B1"/>
    <w:rsid w:val="00A77757"/>
    <w:rsid w:val="00A90088"/>
    <w:rsid w:val="00B3154A"/>
    <w:rsid w:val="00B623BB"/>
    <w:rsid w:val="00BC38E1"/>
    <w:rsid w:val="00BC739C"/>
    <w:rsid w:val="00BE15CD"/>
    <w:rsid w:val="00C23A5C"/>
    <w:rsid w:val="00C748DF"/>
    <w:rsid w:val="00C831C5"/>
    <w:rsid w:val="00CA3CAB"/>
    <w:rsid w:val="00D96376"/>
    <w:rsid w:val="00DA0A9A"/>
    <w:rsid w:val="00DF18CC"/>
    <w:rsid w:val="00DF1DE8"/>
    <w:rsid w:val="00E047DE"/>
    <w:rsid w:val="00E94FCE"/>
    <w:rsid w:val="00EF20D5"/>
    <w:rsid w:val="00EF40FF"/>
    <w:rsid w:val="00F03C91"/>
    <w:rsid w:val="00F100F6"/>
    <w:rsid w:val="00F12017"/>
    <w:rsid w:val="00F63582"/>
    <w:rsid w:val="00F87598"/>
    <w:rsid w:val="00FA1374"/>
    <w:rsid w:val="00FA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74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825305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42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5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8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1819736A3C544A7A74FEE717DCA01" ma:contentTypeVersion="8" ma:contentTypeDescription="Create a new document." ma:contentTypeScope="" ma:versionID="d4d5b33286dbab50413313d1fb3dd9bd">
  <xsd:schema xmlns:xsd="http://www.w3.org/2001/XMLSchema" xmlns:xs="http://www.w3.org/2001/XMLSchema" xmlns:p="http://schemas.microsoft.com/office/2006/metadata/properties" xmlns:ns3="473e1f72-44c0-44f5-90ff-9904f1f9a8a4" targetNamespace="http://schemas.microsoft.com/office/2006/metadata/properties" ma:root="true" ma:fieldsID="467beca624153cf0bd91ee6770773ff2" ns3:_="">
    <xsd:import namespace="473e1f72-44c0-44f5-90ff-9904f1f9a8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1f72-44c0-44f5-90ff-9904f1f9a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535334-9D96-4862-AAE0-AC0AD5E42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6CDF92-5B94-44AC-9BBE-526B572B6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e1f72-44c0-44f5-90ff-9904f1f9a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F621EC-7235-400B-8542-97D93C3A1B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Maria Ross-Russell</cp:lastModifiedBy>
  <cp:revision>60</cp:revision>
  <cp:lastPrinted>2019-11-26T13:34:00Z</cp:lastPrinted>
  <dcterms:created xsi:type="dcterms:W3CDTF">2019-11-28T12:25:00Z</dcterms:created>
  <dcterms:modified xsi:type="dcterms:W3CDTF">2020-01-22T17:37:00Z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0x01010067C1819736A3C544A7A74FEE717DCA01</vt:lpwstr>
  </property>
</Properties>
</file>