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</w:tblPr>
      <w:tblGrid>
        <w:gridCol w:w="2547"/>
        <w:gridCol w:w="7087"/>
      </w:tblGrid>
      <w:tr w:rsidR="009E5E21" w14:paraId="5A725356" w14:textId="77777777" w:rsidTr="00DA0A9A">
        <w:tc>
          <w:tcPr>
            <w:tcW w:w="2547" w:type="dxa"/>
          </w:tcPr>
          <w:p w14:paraId="7726BCA0" w14:textId="5FB908ED" w:rsidR="009E5E21" w:rsidRDefault="009E5E21">
            <w:r>
              <w:rPr>
                <w:noProof/>
              </w:rPr>
              <w:drawing>
                <wp:inline distT="0" distB="0" distL="0" distR="0" wp14:anchorId="589855F8" wp14:editId="6726FE2E">
                  <wp:extent cx="857250" cy="575336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_elfh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9446" cy="5902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7" w:type="dxa"/>
          </w:tcPr>
          <w:p w14:paraId="5D27C9B7" w14:textId="76045179" w:rsidR="009E5E21" w:rsidRDefault="009E5E21" w:rsidP="00DA0A9A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1EB68EF0" wp14:editId="707C1ECA">
                  <wp:extent cx="1905000" cy="50482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health-education-england-logo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5F71" w14:paraId="7A15C940" w14:textId="77777777" w:rsidTr="00441A17">
        <w:tc>
          <w:tcPr>
            <w:tcW w:w="9634" w:type="dxa"/>
            <w:gridSpan w:val="2"/>
          </w:tcPr>
          <w:p w14:paraId="5982EF18" w14:textId="77777777" w:rsidR="004A270A" w:rsidRDefault="004A270A"/>
          <w:p w14:paraId="323A9902" w14:textId="0B095969" w:rsidR="00435F71" w:rsidRDefault="00435F71" w:rsidP="004062FE">
            <w:r>
              <w:t xml:space="preserve">This is to certify that </w:t>
            </w:r>
            <w:r w:rsidR="004A270A">
              <w:rPr>
                <w:i/>
                <w:color w:val="FF0000"/>
              </w:rPr>
              <w:t>XX</w:t>
            </w:r>
            <w:r w:rsidR="004A270A">
              <w:t xml:space="preserve">, GDC number </w:t>
            </w:r>
            <w:proofErr w:type="spellStart"/>
            <w:r w:rsidR="004A270A" w:rsidRPr="007C5508">
              <w:rPr>
                <w:i/>
                <w:color w:val="FF0000"/>
              </w:rPr>
              <w:t>xxxxx</w:t>
            </w:r>
            <w:proofErr w:type="spellEnd"/>
            <w:r>
              <w:t>, has complet</w:t>
            </w:r>
            <w:r w:rsidR="00471A60">
              <w:t>ed</w:t>
            </w:r>
            <w:r w:rsidR="00156A89">
              <w:t xml:space="preserve"> Sepsis</w:t>
            </w:r>
            <w:r w:rsidR="00CA71B6">
              <w:t xml:space="preserve"> training</w:t>
            </w:r>
            <w:r w:rsidR="004062FE">
              <w:t>.</w:t>
            </w:r>
          </w:p>
          <w:p w14:paraId="351ECFC7" w14:textId="64DDF631" w:rsidR="004062FE" w:rsidRDefault="004062FE" w:rsidP="004062FE"/>
        </w:tc>
      </w:tr>
      <w:tr w:rsidR="00983458" w14:paraId="2D51E549" w14:textId="77777777" w:rsidTr="00441A17">
        <w:tc>
          <w:tcPr>
            <w:tcW w:w="9634" w:type="dxa"/>
            <w:gridSpan w:val="2"/>
          </w:tcPr>
          <w:p w14:paraId="03F5A76C" w14:textId="77777777" w:rsidR="009A4DD0" w:rsidRDefault="009A4DD0">
            <w:pPr>
              <w:rPr>
                <w:b/>
              </w:rPr>
            </w:pPr>
          </w:p>
          <w:p w14:paraId="769119EC" w14:textId="3F8F3373" w:rsidR="00983458" w:rsidRPr="00405E4D" w:rsidRDefault="00983458" w:rsidP="00405E4D">
            <w:pPr>
              <w:pStyle w:val="NoSpacing"/>
            </w:pPr>
            <w:r w:rsidRPr="00405E4D">
              <w:rPr>
                <w:b/>
              </w:rPr>
              <w:t>Aim</w:t>
            </w:r>
            <w:r w:rsidRPr="00405E4D">
              <w:t>:</w:t>
            </w:r>
            <w:r w:rsidR="00405E4D" w:rsidRPr="00405E4D">
              <w:rPr>
                <w:lang w:val="en"/>
              </w:rPr>
              <w:t xml:space="preserve"> </w:t>
            </w:r>
            <w:r w:rsidR="00EE12B4" w:rsidRPr="00A62B06">
              <w:rPr>
                <w:rFonts w:cstheme="minorHAnsi"/>
                <w:lang w:val="en"/>
              </w:rPr>
              <w:t>This session is aimed at those providing urgent or unscheduled care. It will provide</w:t>
            </w:r>
            <w:r w:rsidR="00A62B06" w:rsidRPr="00A62B06">
              <w:rPr>
                <w:rFonts w:cstheme="minorHAnsi"/>
                <w:lang w:val="en"/>
              </w:rPr>
              <w:t xml:space="preserve"> the</w:t>
            </w:r>
            <w:r w:rsidR="00EE12B4" w:rsidRPr="00A62B06">
              <w:rPr>
                <w:rFonts w:cstheme="minorHAnsi"/>
                <w:lang w:val="en"/>
              </w:rPr>
              <w:t xml:space="preserve"> key facts about sepsis and outline the size of the problem, common community presentations and key actions that influence outcomes.</w:t>
            </w:r>
          </w:p>
          <w:p w14:paraId="127BAABE" w14:textId="0C496414" w:rsidR="004A270A" w:rsidRDefault="004A270A"/>
        </w:tc>
      </w:tr>
      <w:tr w:rsidR="003B46DD" w14:paraId="18F26444" w14:textId="77777777" w:rsidTr="00441A17">
        <w:tc>
          <w:tcPr>
            <w:tcW w:w="9634" w:type="dxa"/>
            <w:gridSpan w:val="2"/>
          </w:tcPr>
          <w:p w14:paraId="4D4988B7" w14:textId="77777777" w:rsidR="009A4DD0" w:rsidRDefault="009A4DD0"/>
          <w:p w14:paraId="03D90238" w14:textId="77777777" w:rsidR="003B46DD" w:rsidRDefault="003B46DD">
            <w:pPr>
              <w:rPr>
                <w:i/>
                <w:color w:val="FF0000"/>
              </w:rPr>
            </w:pPr>
            <w:r w:rsidRPr="009A4DD0">
              <w:rPr>
                <w:b/>
              </w:rPr>
              <w:t>Total time spent</w:t>
            </w:r>
            <w:r>
              <w:t xml:space="preserve">: </w:t>
            </w:r>
            <w:r w:rsidR="00340D47">
              <w:rPr>
                <w:i/>
                <w:color w:val="FF0000"/>
              </w:rPr>
              <w:t>XX</w:t>
            </w:r>
            <w:r w:rsidRPr="00340D47">
              <w:rPr>
                <w:i/>
                <w:color w:val="FF0000"/>
              </w:rPr>
              <w:t xml:space="preserve"> minutes (to be completed by learner with reference to the </w:t>
            </w:r>
            <w:r w:rsidR="00340D47">
              <w:rPr>
                <w:i/>
                <w:color w:val="FF0000"/>
              </w:rPr>
              <w:t>e-</w:t>
            </w:r>
            <w:proofErr w:type="spellStart"/>
            <w:r w:rsidR="00340D47">
              <w:rPr>
                <w:i/>
                <w:color w:val="FF0000"/>
              </w:rPr>
              <w:t>LfH</w:t>
            </w:r>
            <w:proofErr w:type="spellEnd"/>
            <w:r w:rsidR="00340D47">
              <w:rPr>
                <w:i/>
                <w:color w:val="FF0000"/>
              </w:rPr>
              <w:t xml:space="preserve"> </w:t>
            </w:r>
            <w:r w:rsidRPr="00340D47">
              <w:rPr>
                <w:i/>
                <w:color w:val="FF0000"/>
              </w:rPr>
              <w:t>certificate)</w:t>
            </w:r>
          </w:p>
          <w:p w14:paraId="12BA87A4" w14:textId="379C5797" w:rsidR="004A270A" w:rsidRDefault="004A270A"/>
        </w:tc>
      </w:tr>
      <w:tr w:rsidR="00F87598" w14:paraId="0B4D537E" w14:textId="77777777" w:rsidTr="00DA0A9A">
        <w:tc>
          <w:tcPr>
            <w:tcW w:w="2547" w:type="dxa"/>
          </w:tcPr>
          <w:p w14:paraId="644200E4" w14:textId="77777777" w:rsidR="009A4DD0" w:rsidRDefault="009A4DD0"/>
          <w:p w14:paraId="30D692CA" w14:textId="5DE639BD" w:rsidR="00F87598" w:rsidRDefault="00F87598">
            <w:r w:rsidRPr="009A4DD0">
              <w:rPr>
                <w:b/>
              </w:rPr>
              <w:t>Educational objectives</w:t>
            </w:r>
            <w:r>
              <w:t>:</w:t>
            </w:r>
          </w:p>
        </w:tc>
        <w:tc>
          <w:tcPr>
            <w:tcW w:w="7087" w:type="dxa"/>
          </w:tcPr>
          <w:p w14:paraId="6CC96A8F" w14:textId="77777777" w:rsidR="009A4DD0" w:rsidRDefault="009A4DD0" w:rsidP="00F87598"/>
          <w:p w14:paraId="58E08C16" w14:textId="77777777" w:rsidR="005D384E" w:rsidRPr="005D384E" w:rsidRDefault="005D384E" w:rsidP="005D384E">
            <w:pPr>
              <w:pStyle w:val="NoSpacing"/>
              <w:rPr>
                <w:lang w:val="en" w:eastAsia="en-GB"/>
              </w:rPr>
            </w:pPr>
            <w:r w:rsidRPr="005D384E">
              <w:rPr>
                <w:lang w:val="en" w:eastAsia="en-GB"/>
              </w:rPr>
              <w:t xml:space="preserve">By the end of this session you will be able to: </w:t>
            </w:r>
          </w:p>
          <w:p w14:paraId="396B0760" w14:textId="77777777" w:rsidR="005D384E" w:rsidRPr="005D384E" w:rsidRDefault="005D384E" w:rsidP="005D384E">
            <w:pPr>
              <w:pStyle w:val="NoSpacing"/>
              <w:numPr>
                <w:ilvl w:val="0"/>
                <w:numId w:val="12"/>
              </w:numPr>
              <w:rPr>
                <w:lang w:val="en" w:eastAsia="en-GB"/>
              </w:rPr>
            </w:pPr>
            <w:r w:rsidRPr="005D384E">
              <w:rPr>
                <w:lang w:val="en" w:eastAsia="en-GB"/>
              </w:rPr>
              <w:t>Describe the differences between infection, sepsis and septic shock</w:t>
            </w:r>
          </w:p>
          <w:p w14:paraId="5A06D07B" w14:textId="77777777" w:rsidR="005D384E" w:rsidRPr="005D384E" w:rsidRDefault="005D384E" w:rsidP="005D384E">
            <w:pPr>
              <w:pStyle w:val="NoSpacing"/>
              <w:numPr>
                <w:ilvl w:val="0"/>
                <w:numId w:val="12"/>
              </w:numPr>
              <w:rPr>
                <w:lang w:val="en" w:eastAsia="en-GB"/>
              </w:rPr>
            </w:pPr>
            <w:proofErr w:type="spellStart"/>
            <w:r w:rsidRPr="005D384E">
              <w:rPr>
                <w:lang w:val="en" w:eastAsia="en-GB"/>
              </w:rPr>
              <w:t>Recognise</w:t>
            </w:r>
            <w:proofErr w:type="spellEnd"/>
            <w:r w:rsidRPr="005D384E">
              <w:rPr>
                <w:lang w:val="en" w:eastAsia="en-GB"/>
              </w:rPr>
              <w:t xml:space="preserve"> the scale and impact of sepsis within the UK</w:t>
            </w:r>
          </w:p>
          <w:p w14:paraId="5278DA05" w14:textId="77777777" w:rsidR="005D384E" w:rsidRPr="005D384E" w:rsidRDefault="005D384E" w:rsidP="005D384E">
            <w:pPr>
              <w:pStyle w:val="NoSpacing"/>
              <w:numPr>
                <w:ilvl w:val="0"/>
                <w:numId w:val="12"/>
              </w:numPr>
              <w:rPr>
                <w:lang w:val="en" w:eastAsia="en-GB"/>
              </w:rPr>
            </w:pPr>
            <w:r w:rsidRPr="005D384E">
              <w:rPr>
                <w:lang w:val="en" w:eastAsia="en-GB"/>
              </w:rPr>
              <w:t>Recall the frequency of community and hospital derived sepsis</w:t>
            </w:r>
          </w:p>
          <w:p w14:paraId="0150DBC5" w14:textId="77777777" w:rsidR="005D384E" w:rsidRPr="005D384E" w:rsidRDefault="005D384E" w:rsidP="005D384E">
            <w:pPr>
              <w:pStyle w:val="NoSpacing"/>
              <w:numPr>
                <w:ilvl w:val="0"/>
                <w:numId w:val="12"/>
              </w:numPr>
              <w:rPr>
                <w:lang w:val="en" w:eastAsia="en-GB"/>
              </w:rPr>
            </w:pPr>
            <w:r w:rsidRPr="005D384E">
              <w:rPr>
                <w:lang w:val="en" w:eastAsia="en-GB"/>
              </w:rPr>
              <w:t>Identify key features that should alert the clinician to the possibility of sepsis in a patient with infection</w:t>
            </w:r>
          </w:p>
          <w:p w14:paraId="160BC1E7" w14:textId="77777777" w:rsidR="005D384E" w:rsidRPr="005D384E" w:rsidRDefault="005D384E" w:rsidP="005D384E">
            <w:pPr>
              <w:pStyle w:val="NoSpacing"/>
              <w:numPr>
                <w:ilvl w:val="0"/>
                <w:numId w:val="12"/>
              </w:numPr>
              <w:rPr>
                <w:lang w:val="en" w:eastAsia="en-GB"/>
              </w:rPr>
            </w:pPr>
            <w:r w:rsidRPr="005D384E">
              <w:rPr>
                <w:lang w:val="en" w:eastAsia="en-GB"/>
              </w:rPr>
              <w:t>List potential strategies that can influence sepsis admissions and deaths</w:t>
            </w:r>
          </w:p>
          <w:p w14:paraId="5C1A6A46" w14:textId="77777777" w:rsidR="005D384E" w:rsidRPr="005D384E" w:rsidRDefault="005D384E" w:rsidP="005D384E">
            <w:pPr>
              <w:pStyle w:val="NoSpacing"/>
              <w:numPr>
                <w:ilvl w:val="0"/>
                <w:numId w:val="12"/>
              </w:numPr>
              <w:rPr>
                <w:lang w:val="en" w:eastAsia="en-GB"/>
              </w:rPr>
            </w:pPr>
            <w:r w:rsidRPr="005D384E">
              <w:rPr>
                <w:lang w:val="en" w:eastAsia="en-GB"/>
              </w:rPr>
              <w:t>Describe the urgency of treatment to influence mortality particularly within the septic shock sub-group</w:t>
            </w:r>
          </w:p>
          <w:p w14:paraId="0CED6BCD" w14:textId="4B86B9F2" w:rsidR="005501CE" w:rsidRPr="005D384E" w:rsidRDefault="005501CE" w:rsidP="005D384E">
            <w:pPr>
              <w:pStyle w:val="NoSpacing"/>
              <w:ind w:left="720"/>
              <w:rPr>
                <w:rFonts w:cstheme="minorHAnsi"/>
              </w:rPr>
            </w:pPr>
          </w:p>
        </w:tc>
      </w:tr>
      <w:tr w:rsidR="00A77757" w14:paraId="07162C27" w14:textId="77777777" w:rsidTr="00DA0A9A">
        <w:tc>
          <w:tcPr>
            <w:tcW w:w="2547" w:type="dxa"/>
          </w:tcPr>
          <w:p w14:paraId="6A9CE839" w14:textId="77777777" w:rsidR="009A4DD0" w:rsidRDefault="009A4DD0">
            <w:pPr>
              <w:rPr>
                <w:b/>
              </w:rPr>
            </w:pPr>
          </w:p>
          <w:p w14:paraId="3088CF35" w14:textId="3E089730" w:rsidR="00A77757" w:rsidRPr="009A4DD0" w:rsidRDefault="00A77757">
            <w:pPr>
              <w:rPr>
                <w:b/>
              </w:rPr>
            </w:pPr>
            <w:r w:rsidRPr="009A4DD0">
              <w:rPr>
                <w:b/>
              </w:rPr>
              <w:t>Learning content:</w:t>
            </w:r>
          </w:p>
        </w:tc>
        <w:tc>
          <w:tcPr>
            <w:tcW w:w="7087" w:type="dxa"/>
          </w:tcPr>
          <w:p w14:paraId="462786C7" w14:textId="77777777" w:rsidR="009A4DD0" w:rsidRDefault="009A4DD0"/>
          <w:p w14:paraId="14470262" w14:textId="77777777" w:rsidR="002406D1" w:rsidRPr="00BD3FD9" w:rsidRDefault="00BD3FD9" w:rsidP="00BD3FD9">
            <w:pPr>
              <w:pStyle w:val="NoSpacing"/>
              <w:rPr>
                <w:rFonts w:cstheme="minorHAnsi"/>
                <w:lang w:val="en"/>
              </w:rPr>
            </w:pPr>
            <w:r w:rsidRPr="00BD3FD9">
              <w:rPr>
                <w:rFonts w:cstheme="minorHAnsi"/>
                <w:lang w:val="en"/>
              </w:rPr>
              <w:t xml:space="preserve">This session will provide an overview of sepsis conditions, and their early identification. It will describe how </w:t>
            </w:r>
            <w:proofErr w:type="gramStart"/>
            <w:r w:rsidRPr="00BD3FD9">
              <w:rPr>
                <w:rFonts w:cstheme="minorHAnsi"/>
                <w:lang w:val="en"/>
              </w:rPr>
              <w:t>community based</w:t>
            </w:r>
            <w:proofErr w:type="gramEnd"/>
            <w:r w:rsidRPr="00BD3FD9">
              <w:rPr>
                <w:rFonts w:cstheme="minorHAnsi"/>
                <w:lang w:val="en"/>
              </w:rPr>
              <w:t xml:space="preserve"> clinicians can influence both the prevalence and impact of sepsis on patients.</w:t>
            </w:r>
            <w:bookmarkStart w:id="0" w:name="_GoBack"/>
            <w:bookmarkEnd w:id="0"/>
          </w:p>
          <w:p w14:paraId="13824177" w14:textId="7285DB9D" w:rsidR="00BD3FD9" w:rsidRDefault="00BD3FD9" w:rsidP="00BD3FD9">
            <w:pPr>
              <w:pStyle w:val="NoSpacing"/>
            </w:pPr>
          </w:p>
        </w:tc>
      </w:tr>
      <w:tr w:rsidR="00345B35" w14:paraId="15C02426" w14:textId="77777777" w:rsidTr="00DA0A9A">
        <w:tc>
          <w:tcPr>
            <w:tcW w:w="2547" w:type="dxa"/>
          </w:tcPr>
          <w:p w14:paraId="0BC8BF43" w14:textId="77777777" w:rsidR="009A4DD0" w:rsidRDefault="009A4DD0"/>
          <w:p w14:paraId="78A8974D" w14:textId="69A4B6A4" w:rsidR="00345B35" w:rsidRPr="009A4DD0" w:rsidRDefault="00345B35">
            <w:pPr>
              <w:rPr>
                <w:b/>
              </w:rPr>
            </w:pPr>
            <w:r w:rsidRPr="009A4DD0">
              <w:rPr>
                <w:b/>
              </w:rPr>
              <w:t>Development Outcomes</w:t>
            </w:r>
            <w:r w:rsidR="009A4DD0">
              <w:rPr>
                <w:b/>
              </w:rPr>
              <w:t>:</w:t>
            </w:r>
          </w:p>
        </w:tc>
        <w:tc>
          <w:tcPr>
            <w:tcW w:w="7087" w:type="dxa"/>
          </w:tcPr>
          <w:p w14:paraId="47409911" w14:textId="77777777" w:rsidR="009A4DD0" w:rsidRDefault="009A4DD0"/>
          <w:p w14:paraId="0A0D9E79" w14:textId="16070C71" w:rsidR="00345B35" w:rsidRDefault="00345B35">
            <w:pPr>
              <w:rPr>
                <w:i/>
                <w:color w:val="FF0000"/>
              </w:rPr>
            </w:pPr>
            <w:r>
              <w:t xml:space="preserve">This course meets the criteria for the GDC’s development outcome </w:t>
            </w:r>
            <w:r w:rsidR="00340D47" w:rsidRPr="00340D47">
              <w:rPr>
                <w:i/>
                <w:color w:val="FF0000"/>
              </w:rPr>
              <w:t xml:space="preserve">(to be completed by learner </w:t>
            </w:r>
            <w:r w:rsidR="00340D47">
              <w:rPr>
                <w:i/>
                <w:color w:val="FF0000"/>
              </w:rPr>
              <w:t>with reference to GDC documentation)</w:t>
            </w:r>
            <w:r w:rsidR="00E94FCE">
              <w:rPr>
                <w:i/>
                <w:color w:val="FF0000"/>
              </w:rPr>
              <w:t xml:space="preserve">. </w:t>
            </w:r>
          </w:p>
          <w:p w14:paraId="72E351A5" w14:textId="4263CF1F" w:rsidR="004A270A" w:rsidRDefault="004A270A"/>
        </w:tc>
      </w:tr>
      <w:tr w:rsidR="00345B35" w14:paraId="1B3ED06D" w14:textId="77777777" w:rsidTr="00DA0A9A">
        <w:tc>
          <w:tcPr>
            <w:tcW w:w="2547" w:type="dxa"/>
          </w:tcPr>
          <w:p w14:paraId="016E2607" w14:textId="77777777" w:rsidR="009A4DD0" w:rsidRDefault="009A4DD0"/>
          <w:p w14:paraId="07378D5D" w14:textId="143CF420" w:rsidR="00345B35" w:rsidRDefault="00345B35">
            <w:r w:rsidRPr="009A4DD0">
              <w:rPr>
                <w:b/>
              </w:rPr>
              <w:t>Provider validation</w:t>
            </w:r>
            <w:r>
              <w:t xml:space="preserve">: </w:t>
            </w:r>
          </w:p>
        </w:tc>
        <w:tc>
          <w:tcPr>
            <w:tcW w:w="7087" w:type="dxa"/>
          </w:tcPr>
          <w:p w14:paraId="44587006" w14:textId="77777777" w:rsidR="009A4DD0" w:rsidRDefault="009A4DD0"/>
          <w:p w14:paraId="1023E452" w14:textId="7C23B366" w:rsidR="00345B35" w:rsidRDefault="00B623BB">
            <w:r>
              <w:t xml:space="preserve">Health Education </w:t>
            </w:r>
            <w:r w:rsidR="00345B35">
              <w:t xml:space="preserve">England confirm that the information provided on this certificate is full accurate. </w:t>
            </w:r>
          </w:p>
          <w:p w14:paraId="4B5BC91A" w14:textId="49D87596" w:rsidR="00E94FCE" w:rsidRDefault="00E94FCE"/>
        </w:tc>
      </w:tr>
      <w:tr w:rsidR="00345B35" w14:paraId="56F43712" w14:textId="77777777" w:rsidTr="00DA0A9A">
        <w:tc>
          <w:tcPr>
            <w:tcW w:w="2547" w:type="dxa"/>
          </w:tcPr>
          <w:p w14:paraId="7FD9E865" w14:textId="77777777" w:rsidR="009A4DD0" w:rsidRDefault="009A4DD0"/>
          <w:p w14:paraId="4DE87386" w14:textId="77777777" w:rsidR="00345B35" w:rsidRDefault="00345B35">
            <w:r w:rsidRPr="009A4DD0">
              <w:rPr>
                <w:b/>
              </w:rPr>
              <w:t>Quality assurance</w:t>
            </w:r>
            <w:r>
              <w:t>:</w:t>
            </w:r>
          </w:p>
          <w:p w14:paraId="53CEA13D" w14:textId="17F5DB3D" w:rsidR="009A4DD0" w:rsidRDefault="009A4DD0"/>
        </w:tc>
        <w:tc>
          <w:tcPr>
            <w:tcW w:w="7087" w:type="dxa"/>
          </w:tcPr>
          <w:p w14:paraId="7CAD1B1B" w14:textId="77777777" w:rsidR="009A4DD0" w:rsidRDefault="009A4DD0"/>
          <w:p w14:paraId="199DD9AE" w14:textId="77777777" w:rsidR="00E94FCE" w:rsidRDefault="00507CF0" w:rsidP="00456523">
            <w:r>
              <w:t xml:space="preserve">This CPD is subject to quality assurance by Andrew Dickenson, Regional Postgraduate Dental Dean, Midlands and East. </w:t>
            </w:r>
          </w:p>
          <w:p w14:paraId="3235D9E0" w14:textId="3D55A4BE" w:rsidR="00542CE0" w:rsidRDefault="00542CE0" w:rsidP="00456523"/>
        </w:tc>
      </w:tr>
    </w:tbl>
    <w:p w14:paraId="41140668" w14:textId="77777777" w:rsidR="00A039AC" w:rsidRDefault="00A039AC" w:rsidP="00441A17"/>
    <w:sectPr w:rsidR="00A039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F3B26"/>
    <w:multiLevelType w:val="hybridMultilevel"/>
    <w:tmpl w:val="CE0428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E373B4"/>
    <w:multiLevelType w:val="hybridMultilevel"/>
    <w:tmpl w:val="462A4A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C4E9D"/>
    <w:multiLevelType w:val="hybridMultilevel"/>
    <w:tmpl w:val="5178BFC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F53FA9"/>
    <w:multiLevelType w:val="hybridMultilevel"/>
    <w:tmpl w:val="84CC0E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9F766D"/>
    <w:multiLevelType w:val="hybridMultilevel"/>
    <w:tmpl w:val="F4A645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8610A8"/>
    <w:multiLevelType w:val="hybridMultilevel"/>
    <w:tmpl w:val="63145B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E31E4F"/>
    <w:multiLevelType w:val="multilevel"/>
    <w:tmpl w:val="F6744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F7F2B48"/>
    <w:multiLevelType w:val="multilevel"/>
    <w:tmpl w:val="6B200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7EF251B"/>
    <w:multiLevelType w:val="multilevel"/>
    <w:tmpl w:val="8D765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AEE35ED"/>
    <w:multiLevelType w:val="hybridMultilevel"/>
    <w:tmpl w:val="FE8CC4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9564E1"/>
    <w:multiLevelType w:val="hybridMultilevel"/>
    <w:tmpl w:val="BCAA39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2A3299"/>
    <w:multiLevelType w:val="multilevel"/>
    <w:tmpl w:val="9C306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11"/>
  </w:num>
  <w:num w:numId="5">
    <w:abstractNumId w:val="4"/>
  </w:num>
  <w:num w:numId="6">
    <w:abstractNumId w:val="7"/>
  </w:num>
  <w:num w:numId="7">
    <w:abstractNumId w:val="9"/>
  </w:num>
  <w:num w:numId="8">
    <w:abstractNumId w:val="6"/>
  </w:num>
  <w:num w:numId="9">
    <w:abstractNumId w:val="5"/>
  </w:num>
  <w:num w:numId="10">
    <w:abstractNumId w:val="10"/>
  </w:num>
  <w:num w:numId="11">
    <w:abstractNumId w:val="8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F71"/>
    <w:rsid w:val="0001487F"/>
    <w:rsid w:val="0006614D"/>
    <w:rsid w:val="00077B58"/>
    <w:rsid w:val="000C7FE3"/>
    <w:rsid w:val="000E0758"/>
    <w:rsid w:val="000F47EE"/>
    <w:rsid w:val="00113774"/>
    <w:rsid w:val="0012042E"/>
    <w:rsid w:val="001413E9"/>
    <w:rsid w:val="00156A89"/>
    <w:rsid w:val="00166DEB"/>
    <w:rsid w:val="0018685E"/>
    <w:rsid w:val="001C2C35"/>
    <w:rsid w:val="001E1F3E"/>
    <w:rsid w:val="00226DAB"/>
    <w:rsid w:val="002406D1"/>
    <w:rsid w:val="00241DC0"/>
    <w:rsid w:val="00257553"/>
    <w:rsid w:val="002E0CA3"/>
    <w:rsid w:val="002E56AA"/>
    <w:rsid w:val="00306A0A"/>
    <w:rsid w:val="003164B3"/>
    <w:rsid w:val="00333757"/>
    <w:rsid w:val="00340D47"/>
    <w:rsid w:val="00345B35"/>
    <w:rsid w:val="00377D57"/>
    <w:rsid w:val="00385F95"/>
    <w:rsid w:val="003B46DD"/>
    <w:rsid w:val="00405E4D"/>
    <w:rsid w:val="004062FE"/>
    <w:rsid w:val="00410BE8"/>
    <w:rsid w:val="0042161F"/>
    <w:rsid w:val="00424E5A"/>
    <w:rsid w:val="00435F71"/>
    <w:rsid w:val="00440785"/>
    <w:rsid w:val="00441A17"/>
    <w:rsid w:val="00456523"/>
    <w:rsid w:val="00471A60"/>
    <w:rsid w:val="00472386"/>
    <w:rsid w:val="0049137E"/>
    <w:rsid w:val="004A270A"/>
    <w:rsid w:val="004C7360"/>
    <w:rsid w:val="004D7F09"/>
    <w:rsid w:val="004E4F35"/>
    <w:rsid w:val="00507CF0"/>
    <w:rsid w:val="00542CE0"/>
    <w:rsid w:val="005501CE"/>
    <w:rsid w:val="00560056"/>
    <w:rsid w:val="005C43F5"/>
    <w:rsid w:val="005D384E"/>
    <w:rsid w:val="005D4F55"/>
    <w:rsid w:val="005E1E58"/>
    <w:rsid w:val="0061105E"/>
    <w:rsid w:val="006B74F6"/>
    <w:rsid w:val="006D56AF"/>
    <w:rsid w:val="006E74F2"/>
    <w:rsid w:val="00705CD3"/>
    <w:rsid w:val="00717F75"/>
    <w:rsid w:val="00750581"/>
    <w:rsid w:val="00751195"/>
    <w:rsid w:val="00776D30"/>
    <w:rsid w:val="007B6358"/>
    <w:rsid w:val="007E2239"/>
    <w:rsid w:val="007E2D2D"/>
    <w:rsid w:val="007F62F2"/>
    <w:rsid w:val="00812293"/>
    <w:rsid w:val="00815417"/>
    <w:rsid w:val="0085197F"/>
    <w:rsid w:val="00851F4B"/>
    <w:rsid w:val="008548E9"/>
    <w:rsid w:val="008706D7"/>
    <w:rsid w:val="00881B28"/>
    <w:rsid w:val="00886D3F"/>
    <w:rsid w:val="008B55FF"/>
    <w:rsid w:val="008C05ED"/>
    <w:rsid w:val="008C0676"/>
    <w:rsid w:val="008D24A5"/>
    <w:rsid w:val="009235AD"/>
    <w:rsid w:val="00947FCC"/>
    <w:rsid w:val="00982080"/>
    <w:rsid w:val="00983458"/>
    <w:rsid w:val="009A4DD0"/>
    <w:rsid w:val="009A6D53"/>
    <w:rsid w:val="009B0C45"/>
    <w:rsid w:val="009C082E"/>
    <w:rsid w:val="009E05B2"/>
    <w:rsid w:val="009E5E21"/>
    <w:rsid w:val="00A01372"/>
    <w:rsid w:val="00A01B12"/>
    <w:rsid w:val="00A039AC"/>
    <w:rsid w:val="00A40658"/>
    <w:rsid w:val="00A629B1"/>
    <w:rsid w:val="00A62B06"/>
    <w:rsid w:val="00A71D5E"/>
    <w:rsid w:val="00A77757"/>
    <w:rsid w:val="00A87E98"/>
    <w:rsid w:val="00A90088"/>
    <w:rsid w:val="00B00D7A"/>
    <w:rsid w:val="00B0277C"/>
    <w:rsid w:val="00B05952"/>
    <w:rsid w:val="00B3154A"/>
    <w:rsid w:val="00B623BB"/>
    <w:rsid w:val="00BB1366"/>
    <w:rsid w:val="00BC38E1"/>
    <w:rsid w:val="00BC739C"/>
    <w:rsid w:val="00BD3FD9"/>
    <w:rsid w:val="00BE15CD"/>
    <w:rsid w:val="00BF09DC"/>
    <w:rsid w:val="00C23A5C"/>
    <w:rsid w:val="00C46CA8"/>
    <w:rsid w:val="00C748DF"/>
    <w:rsid w:val="00C80A34"/>
    <w:rsid w:val="00C831C5"/>
    <w:rsid w:val="00CA2AD3"/>
    <w:rsid w:val="00CA3CAB"/>
    <w:rsid w:val="00CA71B6"/>
    <w:rsid w:val="00D77B2C"/>
    <w:rsid w:val="00D96376"/>
    <w:rsid w:val="00DA0A9A"/>
    <w:rsid w:val="00DB201E"/>
    <w:rsid w:val="00DF18CC"/>
    <w:rsid w:val="00E047DE"/>
    <w:rsid w:val="00E16EFE"/>
    <w:rsid w:val="00E2538A"/>
    <w:rsid w:val="00E33F57"/>
    <w:rsid w:val="00E34C8B"/>
    <w:rsid w:val="00E67AB5"/>
    <w:rsid w:val="00E81253"/>
    <w:rsid w:val="00E94FCE"/>
    <w:rsid w:val="00EB7025"/>
    <w:rsid w:val="00EE12B4"/>
    <w:rsid w:val="00EE7C27"/>
    <w:rsid w:val="00EF20D5"/>
    <w:rsid w:val="00EF40FF"/>
    <w:rsid w:val="00F03B11"/>
    <w:rsid w:val="00F03C91"/>
    <w:rsid w:val="00F100F6"/>
    <w:rsid w:val="00F12017"/>
    <w:rsid w:val="00F55288"/>
    <w:rsid w:val="00F63582"/>
    <w:rsid w:val="00F87598"/>
    <w:rsid w:val="00FA1374"/>
    <w:rsid w:val="00FA3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89F4E7"/>
  <w15:chartTrackingRefBased/>
  <w15:docId w15:val="{46F9CCFA-CBE2-4EE0-B7BB-4E63861BC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5F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8759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C73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73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73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73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736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73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7360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12042E"/>
    <w:pPr>
      <w:spacing w:after="240" w:line="336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NoSpacing">
    <w:name w:val="No Spacing"/>
    <w:uiPriority w:val="1"/>
    <w:qFormat/>
    <w:rsid w:val="008B55F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6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95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003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699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09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720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0889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6742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4825305">
                                          <w:marLeft w:val="0"/>
                                          <w:marRight w:val="0"/>
                                          <w:marTop w:val="0"/>
                                          <w:marBottom w:val="9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4428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49940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49509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81888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47186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003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321335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14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623044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559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50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784264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77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74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923180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40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774660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11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29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16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89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98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441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926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540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8445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9153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7107146">
                                          <w:marLeft w:val="0"/>
                                          <w:marRight w:val="0"/>
                                          <w:marTop w:val="0"/>
                                          <w:marBottom w:val="9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62839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0596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7239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30561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42428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841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210591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52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208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15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727003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30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575881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250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635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43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07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71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31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497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402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71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87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40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52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02911">
              <w:marLeft w:val="0"/>
              <w:marRight w:val="0"/>
              <w:marTop w:val="10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70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46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10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757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52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386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4518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7127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C1819736A3C544A7A74FEE717DCA01" ma:contentTypeVersion="8" ma:contentTypeDescription="Create a new document." ma:contentTypeScope="" ma:versionID="d4d5b33286dbab50413313d1fb3dd9bd">
  <xsd:schema xmlns:xsd="http://www.w3.org/2001/XMLSchema" xmlns:xs="http://www.w3.org/2001/XMLSchema" xmlns:p="http://schemas.microsoft.com/office/2006/metadata/properties" xmlns:ns3="473e1f72-44c0-44f5-90ff-9904f1f9a8a4" targetNamespace="http://schemas.microsoft.com/office/2006/metadata/properties" ma:root="true" ma:fieldsID="467beca624153cf0bd91ee6770773ff2" ns3:_="">
    <xsd:import namespace="473e1f72-44c0-44f5-90ff-9904f1f9a8a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3e1f72-44c0-44f5-90ff-9904f1f9a8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B6CDF92-5B94-44AC-9BBE-526B572B6A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3e1f72-44c0-44f5-90ff-9904f1f9a8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535334-9D96-4862-AAE0-AC0AD5E425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F621EC-7235-400B-8542-97D93C3A1B4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bajjie</dc:creator>
  <cp:keywords/>
  <dc:description/>
  <cp:lastModifiedBy>Maria Ross-Russell</cp:lastModifiedBy>
  <cp:revision>7</cp:revision>
  <cp:lastPrinted>2019-11-26T13:34:00Z</cp:lastPrinted>
  <dcterms:created xsi:type="dcterms:W3CDTF">2019-12-27T09:37:00Z</dcterms:created>
  <dcterms:modified xsi:type="dcterms:W3CDTF">2019-12-27T09:42:00Z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0x01010067C1819736A3C544A7A74FEE717DCA01</vt:lpwstr>
  </property>
</Properties>
</file>