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539DBE9F" w14:textId="1FCB189B" w:rsidR="00DF3159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E24824">
              <w:t>e-Den Module</w:t>
            </w:r>
            <w:r w:rsidR="004E7B86">
              <w:t xml:space="preserve"> 9</w:t>
            </w:r>
            <w:r w:rsidR="00E24824">
              <w:t xml:space="preserve"> </w:t>
            </w:r>
            <w:r w:rsidR="004E7B86">
              <w:t>–</w:t>
            </w:r>
            <w:r w:rsidR="00E24824">
              <w:t xml:space="preserve"> Re</w:t>
            </w:r>
            <w:r w:rsidR="004E7B86">
              <w:t xml:space="preserve">placement </w:t>
            </w:r>
            <w:r w:rsidR="00E24824">
              <w:t xml:space="preserve">of Teeth. </w:t>
            </w:r>
          </w:p>
          <w:p w14:paraId="351ECFC7" w14:textId="15AAC6EA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148BB24D" w14:textId="66BB6863" w:rsidR="00262DCE" w:rsidRDefault="00983458" w:rsidP="00695632">
            <w:r w:rsidRPr="009A4DD0">
              <w:rPr>
                <w:b/>
              </w:rPr>
              <w:t>Aim</w:t>
            </w:r>
            <w:r>
              <w:t>: To demonstrate an understanding of the</w:t>
            </w:r>
            <w:r w:rsidR="00695632">
              <w:t xml:space="preserve"> </w:t>
            </w:r>
            <w:r w:rsidR="00C42EF8">
              <w:t xml:space="preserve">various techniques used to replace missing </w:t>
            </w:r>
            <w:r w:rsidR="00C42EF8">
              <w:t xml:space="preserve">teeth. </w:t>
            </w:r>
            <w:bookmarkStart w:id="0" w:name="_GoBack"/>
            <w:bookmarkEnd w:id="0"/>
          </w:p>
          <w:p w14:paraId="127BAABE" w14:textId="01618082" w:rsidR="00695632" w:rsidRDefault="00695632" w:rsidP="00695632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9FAC713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 xml:space="preserve">understanding of: </w:t>
            </w:r>
          </w:p>
          <w:p w14:paraId="10E1F7B4" w14:textId="77777777" w:rsidR="004E7B86" w:rsidRDefault="004E7B86" w:rsidP="004E7B86">
            <w:pPr>
              <w:pStyle w:val="ListParagraph"/>
              <w:numPr>
                <w:ilvl w:val="0"/>
                <w:numId w:val="4"/>
              </w:numPr>
            </w:pPr>
            <w:r>
              <w:t>Bridgework</w:t>
            </w:r>
            <w:r>
              <w:t xml:space="preserve"> </w:t>
            </w:r>
          </w:p>
          <w:p w14:paraId="6175839C" w14:textId="77777777" w:rsidR="004E7B86" w:rsidRDefault="004E7B86" w:rsidP="004E7B86">
            <w:pPr>
              <w:pStyle w:val="ListParagraph"/>
              <w:numPr>
                <w:ilvl w:val="0"/>
                <w:numId w:val="4"/>
              </w:numPr>
            </w:pPr>
            <w:r>
              <w:t>Occlusion</w:t>
            </w:r>
          </w:p>
          <w:p w14:paraId="4BC0A7F1" w14:textId="77777777" w:rsidR="004E7B86" w:rsidRDefault="004E7B86" w:rsidP="004E7B86">
            <w:pPr>
              <w:pStyle w:val="ListParagraph"/>
              <w:numPr>
                <w:ilvl w:val="0"/>
                <w:numId w:val="4"/>
              </w:numPr>
            </w:pPr>
            <w:r>
              <w:t>Complete Dentures</w:t>
            </w:r>
          </w:p>
          <w:p w14:paraId="63CC2851" w14:textId="77777777" w:rsidR="004E7B86" w:rsidRDefault="004E7B86" w:rsidP="004E7B86">
            <w:pPr>
              <w:pStyle w:val="ListParagraph"/>
              <w:numPr>
                <w:ilvl w:val="0"/>
                <w:numId w:val="4"/>
              </w:numPr>
            </w:pPr>
            <w:r>
              <w:t>Partial Dentures</w:t>
            </w:r>
          </w:p>
          <w:p w14:paraId="0CED6BCD" w14:textId="2A33A257" w:rsidR="00E24824" w:rsidRDefault="004E7B86" w:rsidP="004E7B86">
            <w:pPr>
              <w:pStyle w:val="ListParagraph"/>
              <w:numPr>
                <w:ilvl w:val="0"/>
                <w:numId w:val="4"/>
              </w:numPr>
            </w:pPr>
            <w:r>
              <w:t>Implantology</w:t>
            </w:r>
            <w:r>
              <w:br/>
            </w:r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111586B6" w14:textId="08F346BF" w:rsidR="00DF3159" w:rsidRDefault="004E7B86">
            <w:r>
              <w:t xml:space="preserve">The replacement of missing teeth is one of the </w:t>
            </w:r>
            <w:r>
              <w:t>most c</w:t>
            </w:r>
            <w:r>
              <w:t xml:space="preserve">ommon procedures undertaken by dental practitioners. The demand for the replacement of missing teeth is increasing year on year and patients' expectations for the placement of restorations with excellent </w:t>
            </w:r>
            <w:r>
              <w:t>aesthetics</w:t>
            </w:r>
            <w:r>
              <w:t xml:space="preserve"> is also increasing. This module introduces the various techniques used to replace missing teeth from resin-retained bridgework to implant dentistry. </w:t>
            </w:r>
          </w:p>
          <w:p w14:paraId="13824177" w14:textId="719F8DF3" w:rsidR="004E7B86" w:rsidRDefault="004E7B86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E58"/>
    <w:multiLevelType w:val="hybridMultilevel"/>
    <w:tmpl w:val="71BEF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0C69B2"/>
    <w:multiLevelType w:val="hybridMultilevel"/>
    <w:tmpl w:val="271850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262DCE"/>
    <w:rsid w:val="002643C0"/>
    <w:rsid w:val="00325AFE"/>
    <w:rsid w:val="00340D47"/>
    <w:rsid w:val="00345B35"/>
    <w:rsid w:val="003B46DD"/>
    <w:rsid w:val="00435F71"/>
    <w:rsid w:val="00441A17"/>
    <w:rsid w:val="004A270A"/>
    <w:rsid w:val="004C7360"/>
    <w:rsid w:val="004E7B86"/>
    <w:rsid w:val="00695632"/>
    <w:rsid w:val="006D56AF"/>
    <w:rsid w:val="008548E9"/>
    <w:rsid w:val="00983458"/>
    <w:rsid w:val="009A4DD0"/>
    <w:rsid w:val="009A6D53"/>
    <w:rsid w:val="00A039AC"/>
    <w:rsid w:val="00A40658"/>
    <w:rsid w:val="00A77757"/>
    <w:rsid w:val="00C42EF8"/>
    <w:rsid w:val="00C831C5"/>
    <w:rsid w:val="00D96376"/>
    <w:rsid w:val="00DF3159"/>
    <w:rsid w:val="00E24824"/>
    <w:rsid w:val="00E94FCE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25</cp:revision>
  <dcterms:created xsi:type="dcterms:W3CDTF">2018-04-13T13:03:00Z</dcterms:created>
  <dcterms:modified xsi:type="dcterms:W3CDTF">2018-05-17T11:34:00Z</dcterms:modified>
</cp:coreProperties>
</file>